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E7831" w14:textId="77777777" w:rsidR="00945168" w:rsidRPr="00945168" w:rsidRDefault="00945168" w:rsidP="00B27B98">
      <w:pPr>
        <w:autoSpaceDE w:val="0"/>
        <w:autoSpaceDN w:val="0"/>
        <w:adjustRightInd w:val="0"/>
        <w:spacing w:after="0" w:line="360" w:lineRule="auto"/>
        <w:rPr>
          <w:rFonts w:ascii="Arial Narrow" w:hAnsi="Arial Narrow" w:cs="Book Antiqua"/>
          <w:color w:val="000000"/>
          <w:sz w:val="26"/>
          <w:szCs w:val="26"/>
          <w:lang w:val="es-CO"/>
        </w:rPr>
      </w:pPr>
    </w:p>
    <w:p w14:paraId="53D59929" w14:textId="732D5E96" w:rsidR="00945168" w:rsidRPr="00945168" w:rsidRDefault="00945168" w:rsidP="00C14292">
      <w:pPr>
        <w:autoSpaceDE w:val="0"/>
        <w:autoSpaceDN w:val="0"/>
        <w:adjustRightInd w:val="0"/>
        <w:spacing w:after="0"/>
        <w:rPr>
          <w:rFonts w:ascii="Arial Narrow" w:hAnsi="Arial Narrow" w:cs="Book Antiqua"/>
          <w:color w:val="000000"/>
          <w:sz w:val="26"/>
          <w:szCs w:val="26"/>
          <w:lang w:val="es-CO"/>
        </w:rPr>
      </w:pPr>
      <w:r w:rsidRPr="00945168">
        <w:rPr>
          <w:rFonts w:ascii="Arial Narrow" w:hAnsi="Arial Narrow" w:cs="Book Antiqua"/>
          <w:color w:val="000000"/>
          <w:sz w:val="26"/>
          <w:szCs w:val="26"/>
          <w:lang w:val="es-CO"/>
        </w:rPr>
        <w:t xml:space="preserve"> Bogotá, </w:t>
      </w:r>
      <w:r w:rsidR="002136C3">
        <w:rPr>
          <w:rFonts w:ascii="Arial Narrow" w:hAnsi="Arial Narrow" w:cs="Book Antiqua"/>
          <w:color w:val="000000"/>
          <w:sz w:val="26"/>
          <w:szCs w:val="26"/>
          <w:lang w:val="es-CO"/>
        </w:rPr>
        <w:t>1</w:t>
      </w:r>
      <w:r w:rsidR="00367537">
        <w:rPr>
          <w:rFonts w:ascii="Arial Narrow" w:hAnsi="Arial Narrow" w:cs="Book Antiqua"/>
          <w:color w:val="000000"/>
          <w:sz w:val="26"/>
          <w:szCs w:val="26"/>
          <w:lang w:val="es-CO"/>
        </w:rPr>
        <w:t>8</w:t>
      </w:r>
      <w:r w:rsidR="002136C3">
        <w:rPr>
          <w:rFonts w:ascii="Arial Narrow" w:hAnsi="Arial Narrow" w:cs="Book Antiqua"/>
          <w:color w:val="000000"/>
          <w:sz w:val="26"/>
          <w:szCs w:val="26"/>
          <w:lang w:val="es-CO"/>
        </w:rPr>
        <w:t xml:space="preserve"> de </w:t>
      </w:r>
      <w:r w:rsidR="00367537">
        <w:rPr>
          <w:rFonts w:ascii="Arial Narrow" w:hAnsi="Arial Narrow" w:cs="Book Antiqua"/>
          <w:color w:val="000000"/>
          <w:sz w:val="26"/>
          <w:szCs w:val="26"/>
          <w:lang w:val="es-CO"/>
        </w:rPr>
        <w:t>noviembre</w:t>
      </w:r>
      <w:r w:rsidR="002136C3">
        <w:rPr>
          <w:rFonts w:ascii="Arial Narrow" w:hAnsi="Arial Narrow" w:cs="Book Antiqua"/>
          <w:color w:val="000000"/>
          <w:sz w:val="26"/>
          <w:szCs w:val="26"/>
          <w:lang w:val="es-CO"/>
        </w:rPr>
        <w:t xml:space="preserve"> de</w:t>
      </w:r>
      <w:r w:rsidRPr="00945168">
        <w:rPr>
          <w:rFonts w:ascii="Arial Narrow" w:hAnsi="Arial Narrow" w:cs="Book Antiqua"/>
          <w:color w:val="000000"/>
          <w:sz w:val="26"/>
          <w:szCs w:val="26"/>
          <w:lang w:val="es-CO"/>
        </w:rPr>
        <w:t xml:space="preserve"> 2019</w:t>
      </w:r>
    </w:p>
    <w:p w14:paraId="44619DED" w14:textId="77777777" w:rsidR="00945168" w:rsidRPr="00945168" w:rsidRDefault="00945168" w:rsidP="00C14292">
      <w:pPr>
        <w:autoSpaceDE w:val="0"/>
        <w:autoSpaceDN w:val="0"/>
        <w:adjustRightInd w:val="0"/>
        <w:spacing w:after="0"/>
        <w:rPr>
          <w:rFonts w:ascii="Arial Narrow" w:hAnsi="Arial Narrow" w:cs="Book Antiqua"/>
          <w:color w:val="000000"/>
          <w:sz w:val="26"/>
          <w:szCs w:val="26"/>
          <w:lang w:val="es-CO"/>
        </w:rPr>
      </w:pPr>
    </w:p>
    <w:p w14:paraId="6FF45361" w14:textId="77777777" w:rsidR="00F22222" w:rsidRPr="00F22222" w:rsidRDefault="00F22222" w:rsidP="00C14292">
      <w:pPr>
        <w:shd w:val="clear" w:color="auto" w:fill="FFFFFF"/>
        <w:spacing w:after="0"/>
        <w:jc w:val="both"/>
        <w:rPr>
          <w:rFonts w:ascii="Arial Narrow" w:eastAsia="Times New Roman" w:hAnsi="Arial Narrow" w:cs="Arial"/>
          <w:sz w:val="26"/>
          <w:szCs w:val="26"/>
          <w:lang w:eastAsia="es-CO"/>
        </w:rPr>
      </w:pPr>
      <w:r w:rsidRPr="00F22222">
        <w:rPr>
          <w:rFonts w:ascii="Arial Narrow" w:eastAsia="Times New Roman" w:hAnsi="Arial Narrow" w:cs="Arial"/>
          <w:sz w:val="26"/>
          <w:szCs w:val="26"/>
          <w:lang w:eastAsia="es-CO"/>
        </w:rPr>
        <w:t>Doctor</w:t>
      </w:r>
    </w:p>
    <w:p w14:paraId="0B2F989E" w14:textId="3BF3CD36" w:rsidR="00F22222" w:rsidRPr="00F22222" w:rsidRDefault="00016FC6" w:rsidP="00C14292">
      <w:pPr>
        <w:shd w:val="clear" w:color="auto" w:fill="FFFFFF"/>
        <w:spacing w:after="0"/>
        <w:jc w:val="both"/>
        <w:rPr>
          <w:rFonts w:ascii="Arial Narrow" w:eastAsia="Times New Roman" w:hAnsi="Arial Narrow" w:cs="Arial"/>
          <w:b/>
          <w:bCs/>
          <w:sz w:val="26"/>
          <w:szCs w:val="26"/>
          <w:lang w:eastAsia="es-CO"/>
        </w:rPr>
      </w:pPr>
      <w:r>
        <w:rPr>
          <w:rFonts w:ascii="Arial Narrow" w:eastAsia="Times New Roman" w:hAnsi="Arial Narrow" w:cs="Arial"/>
          <w:b/>
          <w:bCs/>
          <w:sz w:val="26"/>
          <w:szCs w:val="26"/>
          <w:lang w:eastAsia="es-CO"/>
        </w:rPr>
        <w:t>JUAN CARLOS LOZADA VARGAS</w:t>
      </w:r>
    </w:p>
    <w:p w14:paraId="3BFE99EC" w14:textId="77777777" w:rsidR="00F22222" w:rsidRPr="00F22222" w:rsidRDefault="00F22222" w:rsidP="00C14292">
      <w:pPr>
        <w:shd w:val="clear" w:color="auto" w:fill="FFFFFF"/>
        <w:spacing w:after="0"/>
        <w:jc w:val="both"/>
        <w:rPr>
          <w:rFonts w:ascii="Arial Narrow" w:eastAsia="Times New Roman" w:hAnsi="Arial Narrow" w:cs="Arial"/>
          <w:b/>
          <w:sz w:val="26"/>
          <w:szCs w:val="26"/>
          <w:lang w:eastAsia="es-CO"/>
        </w:rPr>
      </w:pPr>
      <w:r w:rsidRPr="00F22222">
        <w:rPr>
          <w:rFonts w:ascii="Arial Narrow" w:eastAsia="Times New Roman" w:hAnsi="Arial Narrow" w:cs="Arial"/>
          <w:b/>
          <w:sz w:val="26"/>
          <w:szCs w:val="26"/>
          <w:lang w:eastAsia="es-CO"/>
        </w:rPr>
        <w:t>Presidente Comisión Primera                                                </w:t>
      </w:r>
    </w:p>
    <w:p w14:paraId="3163D93D" w14:textId="77777777" w:rsidR="00F22222" w:rsidRPr="00F22222" w:rsidRDefault="00F22222" w:rsidP="00C14292">
      <w:pPr>
        <w:shd w:val="clear" w:color="auto" w:fill="FFFFFF"/>
        <w:spacing w:after="0"/>
        <w:jc w:val="both"/>
        <w:rPr>
          <w:rFonts w:ascii="Arial Narrow" w:eastAsia="Times New Roman" w:hAnsi="Arial Narrow" w:cs="Arial"/>
          <w:sz w:val="26"/>
          <w:szCs w:val="26"/>
          <w:lang w:eastAsia="es-CO"/>
        </w:rPr>
      </w:pPr>
      <w:r w:rsidRPr="00F22222">
        <w:rPr>
          <w:rFonts w:ascii="Arial Narrow" w:eastAsia="Times New Roman" w:hAnsi="Arial Narrow" w:cs="Arial"/>
          <w:sz w:val="26"/>
          <w:szCs w:val="26"/>
          <w:lang w:eastAsia="es-CO"/>
        </w:rPr>
        <w:t>Cámara de Representantes</w:t>
      </w:r>
    </w:p>
    <w:p w14:paraId="3E2DBDC9" w14:textId="7559B797" w:rsidR="00C14292" w:rsidRDefault="00F22222" w:rsidP="00C14292">
      <w:pPr>
        <w:shd w:val="clear" w:color="auto" w:fill="FFFFFF"/>
        <w:spacing w:after="0"/>
        <w:jc w:val="both"/>
        <w:rPr>
          <w:rFonts w:ascii="Arial Narrow" w:eastAsia="Times New Roman" w:hAnsi="Arial Narrow" w:cs="Arial"/>
          <w:sz w:val="26"/>
          <w:szCs w:val="26"/>
          <w:lang w:eastAsia="es-CO"/>
        </w:rPr>
      </w:pPr>
      <w:r w:rsidRPr="00F22222">
        <w:rPr>
          <w:rFonts w:ascii="Arial Narrow" w:eastAsia="Times New Roman" w:hAnsi="Arial Narrow" w:cs="Arial"/>
          <w:sz w:val="26"/>
          <w:szCs w:val="26"/>
          <w:lang w:eastAsia="es-CO"/>
        </w:rPr>
        <w:t>Bogotá</w:t>
      </w:r>
    </w:p>
    <w:p w14:paraId="0DE50A14" w14:textId="77777777" w:rsidR="00C14292" w:rsidRPr="00C14292" w:rsidRDefault="00C14292" w:rsidP="00C14292">
      <w:pPr>
        <w:shd w:val="clear" w:color="auto" w:fill="FFFFFF"/>
        <w:spacing w:after="0"/>
        <w:jc w:val="both"/>
        <w:rPr>
          <w:rFonts w:ascii="Arial Narrow" w:eastAsia="Times New Roman" w:hAnsi="Arial Narrow" w:cs="Arial"/>
          <w:sz w:val="26"/>
          <w:szCs w:val="26"/>
          <w:lang w:eastAsia="es-CO"/>
        </w:rPr>
      </w:pPr>
    </w:p>
    <w:p w14:paraId="44F4FD02" w14:textId="0F846361" w:rsidR="00C14292" w:rsidRPr="00C14292" w:rsidRDefault="00945168" w:rsidP="00C14292">
      <w:pPr>
        <w:autoSpaceDE w:val="0"/>
        <w:autoSpaceDN w:val="0"/>
        <w:adjustRightInd w:val="0"/>
        <w:spacing w:after="0"/>
        <w:jc w:val="both"/>
        <w:rPr>
          <w:rFonts w:ascii="Arial Narrow" w:hAnsi="Arial Narrow" w:cs="Book Antiqua"/>
          <w:bCs/>
          <w:color w:val="000000"/>
          <w:sz w:val="26"/>
          <w:szCs w:val="26"/>
          <w:lang w:val="es-CO"/>
        </w:rPr>
      </w:pPr>
      <w:r w:rsidRPr="00945168">
        <w:rPr>
          <w:rFonts w:ascii="Arial Narrow" w:hAnsi="Arial Narrow" w:cs="Book Antiqua"/>
          <w:b/>
          <w:bCs/>
          <w:color w:val="000000"/>
          <w:sz w:val="26"/>
          <w:szCs w:val="26"/>
          <w:lang w:val="es-CO"/>
        </w:rPr>
        <w:t>Ref</w:t>
      </w:r>
      <w:r w:rsidR="00F22222" w:rsidRPr="00F22222">
        <w:rPr>
          <w:rFonts w:ascii="Arial Narrow" w:hAnsi="Arial Narrow" w:cs="Book Antiqua"/>
          <w:b/>
          <w:bCs/>
          <w:color w:val="000000"/>
          <w:sz w:val="26"/>
          <w:szCs w:val="26"/>
          <w:lang w:val="es-CO"/>
        </w:rPr>
        <w:t>erencia</w:t>
      </w:r>
      <w:r w:rsidRPr="00945168">
        <w:rPr>
          <w:rFonts w:ascii="Arial Narrow" w:hAnsi="Arial Narrow" w:cs="Book Antiqua"/>
          <w:b/>
          <w:bCs/>
          <w:color w:val="000000"/>
          <w:sz w:val="26"/>
          <w:szCs w:val="26"/>
          <w:lang w:val="es-CO"/>
        </w:rPr>
        <w:t xml:space="preserve">: </w:t>
      </w:r>
      <w:r w:rsidR="002136C3">
        <w:rPr>
          <w:rFonts w:ascii="Arial Narrow" w:hAnsi="Arial Narrow" w:cs="Book Antiqua"/>
          <w:bCs/>
          <w:color w:val="000000"/>
          <w:sz w:val="26"/>
          <w:szCs w:val="26"/>
          <w:lang w:val="es-CO"/>
        </w:rPr>
        <w:t xml:space="preserve">Informe de Ponencia para </w:t>
      </w:r>
      <w:r w:rsidR="00C14292">
        <w:rPr>
          <w:rFonts w:ascii="Arial Narrow" w:hAnsi="Arial Narrow" w:cs="Book Antiqua"/>
          <w:bCs/>
          <w:color w:val="000000"/>
          <w:sz w:val="26"/>
          <w:szCs w:val="26"/>
          <w:lang w:val="es-CO"/>
        </w:rPr>
        <w:t>Primer</w:t>
      </w:r>
      <w:r w:rsidR="00F22222" w:rsidRPr="00F22222">
        <w:rPr>
          <w:rFonts w:ascii="Arial Narrow" w:hAnsi="Arial Narrow" w:cs="Book Antiqua"/>
          <w:bCs/>
          <w:color w:val="000000"/>
          <w:sz w:val="26"/>
          <w:szCs w:val="26"/>
          <w:lang w:val="es-CO"/>
        </w:rPr>
        <w:t xml:space="preserve"> Debate en</w:t>
      </w:r>
      <w:r w:rsidR="00C14292">
        <w:rPr>
          <w:rFonts w:ascii="Arial Narrow" w:hAnsi="Arial Narrow" w:cs="Book Antiqua"/>
          <w:bCs/>
          <w:color w:val="000000"/>
          <w:sz w:val="26"/>
          <w:szCs w:val="26"/>
          <w:lang w:val="es-CO"/>
        </w:rPr>
        <w:t xml:space="preserve"> la Comisión Primera de la</w:t>
      </w:r>
      <w:r w:rsidR="00F22222" w:rsidRPr="00F22222">
        <w:rPr>
          <w:rFonts w:ascii="Arial Narrow" w:hAnsi="Arial Narrow" w:cs="Book Antiqua"/>
          <w:bCs/>
          <w:color w:val="000000"/>
          <w:sz w:val="26"/>
          <w:szCs w:val="26"/>
          <w:lang w:val="es-CO"/>
        </w:rPr>
        <w:t xml:space="preserve"> Cámara</w:t>
      </w:r>
      <w:r w:rsidR="00C14292">
        <w:rPr>
          <w:rFonts w:ascii="Arial Narrow" w:hAnsi="Arial Narrow" w:cs="Book Antiqua"/>
          <w:bCs/>
          <w:color w:val="000000"/>
          <w:sz w:val="26"/>
          <w:szCs w:val="26"/>
          <w:lang w:val="es-CO"/>
        </w:rPr>
        <w:t xml:space="preserve"> de Representantes</w:t>
      </w:r>
      <w:r w:rsidR="00F22222" w:rsidRPr="00F22222">
        <w:rPr>
          <w:rFonts w:ascii="Arial Narrow" w:hAnsi="Arial Narrow" w:cs="Book Antiqua"/>
          <w:bCs/>
          <w:color w:val="000000"/>
          <w:sz w:val="26"/>
          <w:szCs w:val="26"/>
          <w:lang w:val="es-CO"/>
        </w:rPr>
        <w:t xml:space="preserve"> </w:t>
      </w:r>
      <w:r w:rsidR="00C14292">
        <w:rPr>
          <w:rFonts w:ascii="Arial Narrow" w:hAnsi="Arial Narrow" w:cs="Book Antiqua"/>
          <w:bCs/>
          <w:color w:val="000000"/>
          <w:sz w:val="26"/>
          <w:szCs w:val="26"/>
          <w:lang w:val="es-CO"/>
        </w:rPr>
        <w:t xml:space="preserve">del </w:t>
      </w:r>
      <w:r w:rsidR="00C14292" w:rsidRPr="00C14292">
        <w:rPr>
          <w:rFonts w:ascii="Arial Narrow" w:eastAsia="Century Gothic" w:hAnsi="Arial Narrow" w:cs="Century Gothic"/>
          <w:sz w:val="28"/>
          <w:szCs w:val="28"/>
        </w:rPr>
        <w:t>Proyecto de Ley número 252 de 2019 Cámara,</w:t>
      </w:r>
      <w:r w:rsidR="00C14292" w:rsidRPr="00C14292">
        <w:rPr>
          <w:rFonts w:ascii="Arial Narrow" w:eastAsia="Century Gothic" w:hAnsi="Arial Narrow" w:cs="Century Gothic"/>
          <w:b/>
          <w:sz w:val="28"/>
          <w:szCs w:val="28"/>
        </w:rPr>
        <w:t xml:space="preserve"> </w:t>
      </w:r>
      <w:r w:rsidR="00C14292" w:rsidRPr="00D01E92">
        <w:rPr>
          <w:rFonts w:ascii="Arial Narrow" w:eastAsia="Century Gothic" w:hAnsi="Arial Narrow" w:cs="Century Gothic"/>
          <w:b/>
          <w:sz w:val="28"/>
          <w:szCs w:val="28"/>
        </w:rPr>
        <w:t>“</w:t>
      </w:r>
      <w:r w:rsidR="00C14292" w:rsidRPr="00D01E92">
        <w:rPr>
          <w:rFonts w:ascii="Arial Narrow" w:eastAsia="Century Gothic" w:hAnsi="Arial Narrow" w:cs="Century Gothic"/>
          <w:i/>
          <w:sz w:val="28"/>
          <w:szCs w:val="28"/>
        </w:rPr>
        <w:t>Por medio de la cual se modifica el artículo 380 del Código Penal (Ley 599 de 2000)”.</w:t>
      </w:r>
    </w:p>
    <w:p w14:paraId="38FE27E9" w14:textId="77777777" w:rsidR="00C14292" w:rsidRPr="00D01E92" w:rsidRDefault="00C14292" w:rsidP="00C14292">
      <w:pPr>
        <w:spacing w:before="280"/>
        <w:rPr>
          <w:rFonts w:ascii="Arial Narrow" w:eastAsia="Century Gothic" w:hAnsi="Arial Narrow" w:cs="Century Gothic"/>
          <w:sz w:val="28"/>
          <w:szCs w:val="28"/>
        </w:rPr>
      </w:pPr>
      <w:r w:rsidRPr="00D01E92">
        <w:rPr>
          <w:rFonts w:ascii="Arial Narrow" w:eastAsia="Century Gothic" w:hAnsi="Arial Narrow" w:cs="Century Gothic"/>
          <w:sz w:val="28"/>
          <w:szCs w:val="28"/>
        </w:rPr>
        <w:t xml:space="preserve">Respetado Presidente: </w:t>
      </w:r>
    </w:p>
    <w:p w14:paraId="094DE00D" w14:textId="77777777" w:rsidR="00C14292" w:rsidRPr="00D01E92" w:rsidRDefault="00C14292" w:rsidP="00C14292">
      <w:pPr>
        <w:spacing w:before="280"/>
        <w:jc w:val="both"/>
        <w:rPr>
          <w:rFonts w:ascii="Arial Narrow" w:eastAsia="Century Gothic" w:hAnsi="Arial Narrow" w:cs="Century Gothic"/>
          <w:i/>
          <w:sz w:val="28"/>
          <w:szCs w:val="28"/>
        </w:rPr>
      </w:pPr>
      <w:r w:rsidRPr="00D01E92">
        <w:rPr>
          <w:rFonts w:ascii="Arial Narrow" w:eastAsia="Century Gothic" w:hAnsi="Arial Narrow" w:cs="Century Gothic"/>
          <w:sz w:val="28"/>
          <w:szCs w:val="28"/>
        </w:rPr>
        <w:t xml:space="preserve">En cumplimiento de la designación hecha por la Mesa Directiva de la Comisión Primera Constitucional de la Cámara de Representantes y de acuerdo con las disposiciones contenidas en la Ley 5a de 1992, me permito rendir informe de ponencia para primer debate del Proyecto de ley número 252 de 2019 Cámara, </w:t>
      </w:r>
      <w:r w:rsidRPr="00D01E92">
        <w:rPr>
          <w:rFonts w:ascii="Arial Narrow" w:eastAsia="Century Gothic" w:hAnsi="Arial Narrow" w:cs="Century Gothic"/>
          <w:b/>
          <w:sz w:val="28"/>
          <w:szCs w:val="28"/>
        </w:rPr>
        <w:t>“</w:t>
      </w:r>
      <w:r w:rsidRPr="00D01E92">
        <w:rPr>
          <w:rFonts w:ascii="Arial Narrow" w:eastAsia="Century Gothic" w:hAnsi="Arial Narrow" w:cs="Century Gothic"/>
          <w:i/>
          <w:sz w:val="28"/>
          <w:szCs w:val="28"/>
        </w:rPr>
        <w:t>Por medio de la cual se modifica el artículo 380 del Código Penal (Ley 599 de 2000)”.</w:t>
      </w:r>
    </w:p>
    <w:p w14:paraId="0B99145D" w14:textId="77777777" w:rsidR="00C14292" w:rsidRPr="00D01E92" w:rsidRDefault="00C14292" w:rsidP="00C14292">
      <w:pPr>
        <w:spacing w:before="280"/>
        <w:jc w:val="both"/>
        <w:rPr>
          <w:rFonts w:ascii="Arial Narrow" w:eastAsia="Century Gothic" w:hAnsi="Arial Narrow" w:cs="Century Gothic"/>
          <w:color w:val="000000"/>
          <w:sz w:val="28"/>
          <w:szCs w:val="28"/>
        </w:rPr>
      </w:pPr>
      <w:r w:rsidRPr="00D01E92">
        <w:rPr>
          <w:rFonts w:ascii="Arial Narrow" w:eastAsia="Century Gothic" w:hAnsi="Arial Narrow" w:cs="Century Gothic"/>
          <w:color w:val="000000"/>
          <w:sz w:val="28"/>
          <w:szCs w:val="28"/>
        </w:rPr>
        <w:t>De los Honorables Representantes:</w:t>
      </w:r>
    </w:p>
    <w:tbl>
      <w:tblPr>
        <w:tblW w:w="8852" w:type="dxa"/>
        <w:tblBorders>
          <w:top w:val="nil"/>
          <w:left w:val="nil"/>
          <w:bottom w:val="nil"/>
          <w:right w:val="nil"/>
          <w:insideH w:val="nil"/>
          <w:insideV w:val="nil"/>
        </w:tblBorders>
        <w:tblLayout w:type="fixed"/>
        <w:tblLook w:val="0400" w:firstRow="0" w:lastRow="0" w:firstColumn="0" w:lastColumn="0" w:noHBand="0" w:noVBand="1"/>
      </w:tblPr>
      <w:tblGrid>
        <w:gridCol w:w="4428"/>
        <w:gridCol w:w="4224"/>
        <w:gridCol w:w="200"/>
      </w:tblGrid>
      <w:tr w:rsidR="00C14292" w:rsidRPr="00D01E92" w14:paraId="60D81CFD" w14:textId="77777777" w:rsidTr="00BD0F49">
        <w:trPr>
          <w:trHeight w:val="2180"/>
        </w:trPr>
        <w:tc>
          <w:tcPr>
            <w:tcW w:w="4428" w:type="dxa"/>
          </w:tcPr>
          <w:p w14:paraId="0AAEEBC3" w14:textId="77777777" w:rsidR="00C14292" w:rsidRPr="00D01E92" w:rsidRDefault="00C14292" w:rsidP="00BD0F49">
            <w:pPr>
              <w:jc w:val="both"/>
              <w:rPr>
                <w:rFonts w:ascii="Arial Narrow" w:eastAsia="Century Gothic" w:hAnsi="Arial Narrow" w:cs="Century Gothic"/>
                <w:b/>
                <w:sz w:val="28"/>
                <w:szCs w:val="28"/>
              </w:rPr>
            </w:pPr>
          </w:p>
          <w:p w14:paraId="365FE427" w14:textId="77777777" w:rsidR="00C14292" w:rsidRPr="00D01E92" w:rsidRDefault="00C14292" w:rsidP="00C14292">
            <w:pPr>
              <w:spacing w:line="240" w:lineRule="auto"/>
              <w:contextualSpacing/>
              <w:jc w:val="both"/>
              <w:rPr>
                <w:rFonts w:ascii="Arial Narrow" w:eastAsia="Century Gothic" w:hAnsi="Arial Narrow" w:cs="Century Gothic"/>
                <w:b/>
                <w:sz w:val="28"/>
                <w:szCs w:val="28"/>
              </w:rPr>
            </w:pPr>
          </w:p>
          <w:p w14:paraId="1ABC138D" w14:textId="77777777" w:rsidR="00C14292" w:rsidRDefault="00C14292" w:rsidP="00C14292">
            <w:pPr>
              <w:spacing w:line="240" w:lineRule="auto"/>
              <w:contextualSpacing/>
              <w:jc w:val="both"/>
              <w:rPr>
                <w:rFonts w:ascii="Arial Narrow" w:eastAsia="Century Gothic" w:hAnsi="Arial Narrow" w:cs="Century Gothic"/>
                <w:b/>
                <w:sz w:val="28"/>
                <w:szCs w:val="28"/>
              </w:rPr>
            </w:pPr>
          </w:p>
          <w:p w14:paraId="00FD664F" w14:textId="77777777" w:rsidR="00C14292" w:rsidRDefault="00C14292" w:rsidP="00C14292">
            <w:pPr>
              <w:spacing w:line="240" w:lineRule="auto"/>
              <w:contextualSpacing/>
              <w:jc w:val="both"/>
              <w:rPr>
                <w:rFonts w:ascii="Arial Narrow" w:eastAsia="Century Gothic" w:hAnsi="Arial Narrow" w:cs="Century Gothic"/>
                <w:b/>
                <w:sz w:val="28"/>
                <w:szCs w:val="28"/>
              </w:rPr>
            </w:pPr>
          </w:p>
          <w:p w14:paraId="17C06B69" w14:textId="739E255C" w:rsidR="00C14292" w:rsidRPr="00D01E92" w:rsidRDefault="00C14292" w:rsidP="00C14292">
            <w:pPr>
              <w:spacing w:line="240" w:lineRule="auto"/>
              <w:contextualSpacing/>
              <w:jc w:val="both"/>
              <w:rPr>
                <w:rFonts w:ascii="Arial Narrow" w:eastAsia="Century Gothic" w:hAnsi="Arial Narrow" w:cs="Century Gothic"/>
                <w:b/>
                <w:sz w:val="28"/>
                <w:szCs w:val="28"/>
              </w:rPr>
            </w:pPr>
            <w:r w:rsidRPr="00D01E92">
              <w:rPr>
                <w:rFonts w:ascii="Arial Narrow" w:eastAsia="Century Gothic" w:hAnsi="Arial Narrow" w:cs="Century Gothic"/>
                <w:b/>
                <w:sz w:val="28"/>
                <w:szCs w:val="28"/>
              </w:rPr>
              <w:t>HERNÁN GUSTAVO ESTUPIÑÁN</w:t>
            </w:r>
          </w:p>
          <w:p w14:paraId="4BE55A4F" w14:textId="77777777" w:rsidR="00C14292" w:rsidRPr="00D01E92" w:rsidRDefault="00C14292" w:rsidP="00C14292">
            <w:pPr>
              <w:spacing w:line="240" w:lineRule="auto"/>
              <w:contextualSpacing/>
              <w:jc w:val="both"/>
              <w:rPr>
                <w:rFonts w:ascii="Arial Narrow" w:eastAsia="Century Gothic" w:hAnsi="Arial Narrow" w:cs="Century Gothic"/>
                <w:sz w:val="28"/>
                <w:szCs w:val="28"/>
              </w:rPr>
            </w:pPr>
            <w:r w:rsidRPr="00D01E92">
              <w:rPr>
                <w:rFonts w:ascii="Arial Narrow" w:eastAsia="Century Gothic" w:hAnsi="Arial Narrow" w:cs="Century Gothic"/>
                <w:sz w:val="28"/>
                <w:szCs w:val="28"/>
              </w:rPr>
              <w:t>Representante a la Cámara</w:t>
            </w:r>
          </w:p>
          <w:p w14:paraId="38C66742" w14:textId="77777777" w:rsidR="00C14292" w:rsidRPr="00D01E92" w:rsidRDefault="00C14292" w:rsidP="00C14292">
            <w:pPr>
              <w:spacing w:line="240" w:lineRule="auto"/>
              <w:contextualSpacing/>
              <w:jc w:val="both"/>
              <w:rPr>
                <w:rFonts w:ascii="Arial Narrow" w:eastAsia="Century Gothic" w:hAnsi="Arial Narrow" w:cs="Century Gothic"/>
                <w:b/>
                <w:sz w:val="28"/>
                <w:szCs w:val="28"/>
              </w:rPr>
            </w:pPr>
            <w:r w:rsidRPr="00D01E92">
              <w:rPr>
                <w:rFonts w:ascii="Arial Narrow" w:eastAsia="Century Gothic" w:hAnsi="Arial Narrow" w:cs="Century Gothic"/>
                <w:sz w:val="28"/>
                <w:szCs w:val="28"/>
              </w:rPr>
              <w:t>Partido Liberal</w:t>
            </w:r>
            <w:r w:rsidRPr="00D01E92">
              <w:rPr>
                <w:rFonts w:ascii="Arial Narrow" w:eastAsia="Century Gothic" w:hAnsi="Arial Narrow" w:cs="Century Gothic"/>
                <w:b/>
                <w:sz w:val="28"/>
                <w:szCs w:val="28"/>
              </w:rPr>
              <w:t xml:space="preserve"> </w:t>
            </w:r>
          </w:p>
          <w:p w14:paraId="2E7431A9" w14:textId="77777777" w:rsidR="00C14292" w:rsidRPr="00D01E92" w:rsidRDefault="00C14292" w:rsidP="00BD0F49">
            <w:pPr>
              <w:jc w:val="both"/>
              <w:rPr>
                <w:rFonts w:ascii="Arial Narrow" w:eastAsia="Century Gothic" w:hAnsi="Arial Narrow" w:cs="Century Gothic"/>
                <w:sz w:val="28"/>
                <w:szCs w:val="28"/>
              </w:rPr>
            </w:pPr>
          </w:p>
        </w:tc>
        <w:tc>
          <w:tcPr>
            <w:tcW w:w="4424" w:type="dxa"/>
            <w:gridSpan w:val="2"/>
          </w:tcPr>
          <w:p w14:paraId="3AA1DC56" w14:textId="77777777" w:rsidR="00C14292" w:rsidRPr="00D01E92" w:rsidRDefault="00C14292" w:rsidP="00BD0F49">
            <w:pPr>
              <w:ind w:left="182" w:hanging="182"/>
              <w:jc w:val="both"/>
              <w:rPr>
                <w:rFonts w:ascii="Arial Narrow" w:eastAsia="Century Gothic" w:hAnsi="Arial Narrow" w:cs="Century Gothic"/>
                <w:b/>
                <w:sz w:val="28"/>
                <w:szCs w:val="28"/>
              </w:rPr>
            </w:pPr>
          </w:p>
          <w:p w14:paraId="6E8EB511" w14:textId="77777777" w:rsidR="00C14292" w:rsidRPr="00D01E92" w:rsidRDefault="00C14292" w:rsidP="00BD0F49">
            <w:pPr>
              <w:ind w:left="182" w:hanging="182"/>
              <w:jc w:val="both"/>
              <w:rPr>
                <w:rFonts w:ascii="Arial Narrow" w:eastAsia="Century Gothic" w:hAnsi="Arial Narrow" w:cs="Century Gothic"/>
                <w:b/>
                <w:sz w:val="28"/>
                <w:szCs w:val="28"/>
              </w:rPr>
            </w:pPr>
          </w:p>
          <w:p w14:paraId="7064BDF3" w14:textId="77777777" w:rsidR="00C14292" w:rsidRDefault="00C14292" w:rsidP="00C14292">
            <w:pPr>
              <w:contextualSpacing/>
              <w:jc w:val="both"/>
              <w:rPr>
                <w:rFonts w:ascii="Arial Narrow" w:eastAsia="Century Gothic" w:hAnsi="Arial Narrow" w:cs="Century Gothic"/>
                <w:b/>
                <w:sz w:val="28"/>
                <w:szCs w:val="28"/>
              </w:rPr>
            </w:pPr>
          </w:p>
          <w:p w14:paraId="5B15D145" w14:textId="79D80C82" w:rsidR="00C14292" w:rsidRPr="00D01E92" w:rsidRDefault="00C14292" w:rsidP="00C14292">
            <w:pPr>
              <w:contextualSpacing/>
              <w:jc w:val="both"/>
              <w:rPr>
                <w:rFonts w:ascii="Arial Narrow" w:eastAsia="Century Gothic" w:hAnsi="Arial Narrow" w:cs="Century Gothic"/>
                <w:b/>
                <w:sz w:val="28"/>
                <w:szCs w:val="28"/>
              </w:rPr>
            </w:pPr>
            <w:r w:rsidRPr="00D01E92">
              <w:rPr>
                <w:rFonts w:ascii="Arial Narrow" w:eastAsia="Century Gothic" w:hAnsi="Arial Narrow" w:cs="Century Gothic"/>
                <w:b/>
                <w:sz w:val="28"/>
                <w:szCs w:val="28"/>
              </w:rPr>
              <w:t xml:space="preserve">JAIME RODRIGUEZ CONTRERAS </w:t>
            </w:r>
          </w:p>
          <w:p w14:paraId="6F0A1A9B" w14:textId="77777777" w:rsidR="00C14292" w:rsidRPr="00D01E92" w:rsidRDefault="00C14292" w:rsidP="00BD0F49">
            <w:pPr>
              <w:ind w:left="182" w:hanging="182"/>
              <w:contextualSpacing/>
              <w:jc w:val="both"/>
              <w:rPr>
                <w:rFonts w:ascii="Arial Narrow" w:eastAsia="Century Gothic" w:hAnsi="Arial Narrow" w:cs="Century Gothic"/>
                <w:sz w:val="28"/>
                <w:szCs w:val="28"/>
              </w:rPr>
            </w:pPr>
            <w:r w:rsidRPr="00D01E92">
              <w:rPr>
                <w:rFonts w:ascii="Arial Narrow" w:eastAsia="Century Gothic" w:hAnsi="Arial Narrow" w:cs="Century Gothic"/>
                <w:sz w:val="28"/>
                <w:szCs w:val="28"/>
              </w:rPr>
              <w:t>Representante a la Cámara</w:t>
            </w:r>
          </w:p>
          <w:p w14:paraId="71ABA4A4" w14:textId="77777777" w:rsidR="00C14292" w:rsidRPr="00D01E92" w:rsidRDefault="00C14292" w:rsidP="00BD0F49">
            <w:pPr>
              <w:ind w:left="182" w:hanging="182"/>
              <w:contextualSpacing/>
              <w:jc w:val="both"/>
              <w:rPr>
                <w:rFonts w:ascii="Arial Narrow" w:eastAsia="Century Gothic" w:hAnsi="Arial Narrow" w:cs="Century Gothic"/>
                <w:b/>
                <w:sz w:val="28"/>
                <w:szCs w:val="28"/>
              </w:rPr>
            </w:pPr>
            <w:r w:rsidRPr="00D01E92">
              <w:rPr>
                <w:rFonts w:ascii="Arial Narrow" w:eastAsia="Century Gothic" w:hAnsi="Arial Narrow" w:cs="Century Gothic"/>
                <w:sz w:val="28"/>
                <w:szCs w:val="28"/>
              </w:rPr>
              <w:t xml:space="preserve">Partido Cambio Radical </w:t>
            </w:r>
          </w:p>
        </w:tc>
      </w:tr>
      <w:tr w:rsidR="00C14292" w:rsidRPr="00D01E92" w14:paraId="418BDF52" w14:textId="77777777" w:rsidTr="00BD0F49">
        <w:trPr>
          <w:gridAfter w:val="1"/>
          <w:wAfter w:w="200" w:type="dxa"/>
          <w:trHeight w:val="1880"/>
        </w:trPr>
        <w:tc>
          <w:tcPr>
            <w:tcW w:w="4428" w:type="dxa"/>
          </w:tcPr>
          <w:p w14:paraId="5DDD0806" w14:textId="77777777" w:rsidR="00C14292" w:rsidRPr="00D01E92" w:rsidRDefault="00C14292" w:rsidP="00C14292">
            <w:pPr>
              <w:spacing w:line="240" w:lineRule="auto"/>
              <w:contextualSpacing/>
              <w:jc w:val="both"/>
              <w:rPr>
                <w:rFonts w:ascii="Arial Narrow" w:eastAsia="Century Gothic" w:hAnsi="Arial Narrow" w:cs="Century Gothic"/>
                <w:b/>
                <w:sz w:val="28"/>
                <w:szCs w:val="28"/>
              </w:rPr>
            </w:pPr>
          </w:p>
          <w:p w14:paraId="0389C086" w14:textId="77777777" w:rsidR="00C14292" w:rsidRPr="00D01E92" w:rsidRDefault="00C14292" w:rsidP="00C14292">
            <w:pPr>
              <w:spacing w:line="240" w:lineRule="auto"/>
              <w:contextualSpacing/>
              <w:jc w:val="both"/>
              <w:rPr>
                <w:rFonts w:ascii="Arial Narrow" w:eastAsia="Century Gothic" w:hAnsi="Arial Narrow" w:cs="Century Gothic"/>
                <w:b/>
                <w:sz w:val="28"/>
                <w:szCs w:val="28"/>
              </w:rPr>
            </w:pPr>
          </w:p>
          <w:p w14:paraId="56AB8F33" w14:textId="385F7967" w:rsidR="00C14292" w:rsidRDefault="00C14292" w:rsidP="00C14292">
            <w:pPr>
              <w:spacing w:line="240" w:lineRule="auto"/>
              <w:contextualSpacing/>
              <w:jc w:val="both"/>
              <w:rPr>
                <w:rFonts w:ascii="Arial Narrow" w:eastAsia="Century Gothic" w:hAnsi="Arial Narrow" w:cs="Century Gothic"/>
                <w:b/>
                <w:sz w:val="28"/>
                <w:szCs w:val="28"/>
              </w:rPr>
            </w:pPr>
          </w:p>
          <w:p w14:paraId="41C134F7" w14:textId="77777777" w:rsidR="00B27B98" w:rsidRPr="00D01E92" w:rsidRDefault="00B27B98" w:rsidP="00C14292">
            <w:pPr>
              <w:spacing w:line="240" w:lineRule="auto"/>
              <w:contextualSpacing/>
              <w:jc w:val="both"/>
              <w:rPr>
                <w:rFonts w:ascii="Arial Narrow" w:eastAsia="Century Gothic" w:hAnsi="Arial Narrow" w:cs="Century Gothic"/>
                <w:b/>
                <w:sz w:val="28"/>
                <w:szCs w:val="28"/>
              </w:rPr>
            </w:pPr>
          </w:p>
          <w:p w14:paraId="2E35A40B" w14:textId="77777777" w:rsidR="00C14292" w:rsidRPr="00D01E92" w:rsidRDefault="00C14292" w:rsidP="00C14292">
            <w:pPr>
              <w:spacing w:line="240" w:lineRule="auto"/>
              <w:contextualSpacing/>
              <w:jc w:val="both"/>
              <w:rPr>
                <w:rFonts w:ascii="Arial Narrow" w:eastAsia="Century Gothic" w:hAnsi="Arial Narrow" w:cs="Century Gothic"/>
                <w:b/>
                <w:sz w:val="28"/>
                <w:szCs w:val="28"/>
              </w:rPr>
            </w:pPr>
          </w:p>
          <w:p w14:paraId="5AE2F33D" w14:textId="77777777" w:rsidR="00C14292" w:rsidRPr="00D01E92" w:rsidRDefault="00C14292" w:rsidP="00C14292">
            <w:pPr>
              <w:spacing w:line="240" w:lineRule="auto"/>
              <w:contextualSpacing/>
              <w:jc w:val="both"/>
              <w:rPr>
                <w:rFonts w:ascii="Arial Narrow" w:eastAsia="Century Gothic" w:hAnsi="Arial Narrow" w:cs="Century Gothic"/>
                <w:b/>
                <w:sz w:val="28"/>
                <w:szCs w:val="28"/>
              </w:rPr>
            </w:pPr>
            <w:r w:rsidRPr="00D01E92">
              <w:rPr>
                <w:rFonts w:ascii="Arial Narrow" w:eastAsia="Century Gothic" w:hAnsi="Arial Narrow" w:cs="Century Gothic"/>
                <w:b/>
                <w:sz w:val="28"/>
                <w:szCs w:val="28"/>
              </w:rPr>
              <w:t xml:space="preserve">EDWARD DAVID RODRIGUEZ R. </w:t>
            </w:r>
          </w:p>
          <w:p w14:paraId="4F9A62AC" w14:textId="77777777" w:rsidR="00C14292" w:rsidRPr="00D01E92" w:rsidRDefault="00C14292" w:rsidP="00C14292">
            <w:pPr>
              <w:spacing w:line="240" w:lineRule="auto"/>
              <w:contextualSpacing/>
              <w:jc w:val="both"/>
              <w:rPr>
                <w:rFonts w:ascii="Arial Narrow" w:eastAsia="Century Gothic" w:hAnsi="Arial Narrow" w:cs="Century Gothic"/>
                <w:sz w:val="28"/>
                <w:szCs w:val="28"/>
              </w:rPr>
            </w:pPr>
            <w:r w:rsidRPr="00D01E92">
              <w:rPr>
                <w:rFonts w:ascii="Arial Narrow" w:eastAsia="Century Gothic" w:hAnsi="Arial Narrow" w:cs="Century Gothic"/>
                <w:sz w:val="28"/>
                <w:szCs w:val="28"/>
              </w:rPr>
              <w:t>Representante a la Cámara</w:t>
            </w:r>
          </w:p>
          <w:p w14:paraId="70C82F75" w14:textId="77777777" w:rsidR="00C14292" w:rsidRPr="00D01E92" w:rsidRDefault="00C14292" w:rsidP="00C14292">
            <w:pPr>
              <w:spacing w:line="240" w:lineRule="auto"/>
              <w:contextualSpacing/>
              <w:jc w:val="both"/>
              <w:rPr>
                <w:rFonts w:ascii="Arial Narrow" w:eastAsia="Century Gothic" w:hAnsi="Arial Narrow" w:cs="Century Gothic"/>
                <w:sz w:val="28"/>
                <w:szCs w:val="28"/>
              </w:rPr>
            </w:pPr>
            <w:r w:rsidRPr="00D01E92">
              <w:rPr>
                <w:rFonts w:ascii="Arial Narrow" w:eastAsia="Century Gothic" w:hAnsi="Arial Narrow" w:cs="Century Gothic"/>
                <w:sz w:val="28"/>
                <w:szCs w:val="28"/>
              </w:rPr>
              <w:t xml:space="preserve">Partido Centro Democrático </w:t>
            </w:r>
          </w:p>
        </w:tc>
        <w:tc>
          <w:tcPr>
            <w:tcW w:w="4224" w:type="dxa"/>
          </w:tcPr>
          <w:p w14:paraId="4AD18693" w14:textId="77777777" w:rsidR="00C14292" w:rsidRPr="00D01E92" w:rsidRDefault="00C14292" w:rsidP="00C14292">
            <w:pPr>
              <w:spacing w:line="240" w:lineRule="auto"/>
              <w:ind w:left="182" w:hanging="182"/>
              <w:contextualSpacing/>
              <w:jc w:val="both"/>
              <w:rPr>
                <w:rFonts w:ascii="Arial Narrow" w:eastAsia="Century Gothic" w:hAnsi="Arial Narrow" w:cs="Century Gothic"/>
                <w:b/>
                <w:sz w:val="28"/>
                <w:szCs w:val="28"/>
              </w:rPr>
            </w:pPr>
          </w:p>
          <w:p w14:paraId="6324A4F8" w14:textId="77777777" w:rsidR="00C14292" w:rsidRPr="00D01E92" w:rsidRDefault="00C14292" w:rsidP="00C14292">
            <w:pPr>
              <w:spacing w:line="240" w:lineRule="auto"/>
              <w:contextualSpacing/>
              <w:jc w:val="both"/>
              <w:rPr>
                <w:rFonts w:ascii="Arial Narrow" w:eastAsia="Century Gothic" w:hAnsi="Arial Narrow" w:cs="Century Gothic"/>
                <w:b/>
                <w:sz w:val="28"/>
                <w:szCs w:val="28"/>
              </w:rPr>
            </w:pPr>
          </w:p>
          <w:p w14:paraId="1D61E446" w14:textId="150C2593" w:rsidR="00C14292" w:rsidRDefault="00C14292" w:rsidP="00C14292">
            <w:pPr>
              <w:spacing w:line="240" w:lineRule="auto"/>
              <w:contextualSpacing/>
              <w:jc w:val="both"/>
              <w:rPr>
                <w:rFonts w:ascii="Arial Narrow" w:eastAsia="Century Gothic" w:hAnsi="Arial Narrow" w:cs="Century Gothic"/>
                <w:b/>
                <w:sz w:val="28"/>
                <w:szCs w:val="28"/>
              </w:rPr>
            </w:pPr>
          </w:p>
          <w:p w14:paraId="0E0A224A" w14:textId="670629BE" w:rsidR="00C14292" w:rsidRDefault="00C14292" w:rsidP="00C14292">
            <w:pPr>
              <w:spacing w:line="240" w:lineRule="auto"/>
              <w:contextualSpacing/>
              <w:jc w:val="both"/>
              <w:rPr>
                <w:rFonts w:ascii="Arial Narrow" w:eastAsia="Century Gothic" w:hAnsi="Arial Narrow" w:cs="Century Gothic"/>
                <w:b/>
                <w:sz w:val="28"/>
                <w:szCs w:val="28"/>
              </w:rPr>
            </w:pPr>
          </w:p>
          <w:p w14:paraId="727C5ED3" w14:textId="77777777" w:rsidR="00B27B98" w:rsidRPr="00D01E92" w:rsidRDefault="00B27B98" w:rsidP="00C14292">
            <w:pPr>
              <w:spacing w:line="240" w:lineRule="auto"/>
              <w:contextualSpacing/>
              <w:jc w:val="both"/>
              <w:rPr>
                <w:rFonts w:ascii="Arial Narrow" w:eastAsia="Century Gothic" w:hAnsi="Arial Narrow" w:cs="Century Gothic"/>
                <w:b/>
                <w:sz w:val="28"/>
                <w:szCs w:val="28"/>
              </w:rPr>
            </w:pPr>
          </w:p>
          <w:p w14:paraId="4F7F1218" w14:textId="77777777" w:rsidR="00C14292" w:rsidRPr="00D01E92" w:rsidRDefault="00C14292" w:rsidP="00C14292">
            <w:pPr>
              <w:spacing w:line="240" w:lineRule="auto"/>
              <w:contextualSpacing/>
              <w:jc w:val="both"/>
              <w:rPr>
                <w:rFonts w:ascii="Arial Narrow" w:eastAsia="Century Gothic" w:hAnsi="Arial Narrow" w:cs="Century Gothic"/>
                <w:b/>
                <w:sz w:val="28"/>
                <w:szCs w:val="28"/>
              </w:rPr>
            </w:pPr>
            <w:r w:rsidRPr="00D01E92">
              <w:rPr>
                <w:rFonts w:ascii="Arial Narrow" w:eastAsia="Century Gothic" w:hAnsi="Arial Narrow" w:cs="Century Gothic"/>
                <w:b/>
                <w:sz w:val="28"/>
                <w:szCs w:val="28"/>
              </w:rPr>
              <w:t>ALFREDO RAFAEL DELUQUE Z.</w:t>
            </w:r>
          </w:p>
          <w:p w14:paraId="58E5F331" w14:textId="77777777" w:rsidR="00C14292" w:rsidRPr="00D01E92" w:rsidRDefault="00C14292" w:rsidP="00C14292">
            <w:pPr>
              <w:spacing w:line="240" w:lineRule="auto"/>
              <w:contextualSpacing/>
              <w:jc w:val="both"/>
              <w:rPr>
                <w:rFonts w:ascii="Arial Narrow" w:eastAsia="Century Gothic" w:hAnsi="Arial Narrow" w:cs="Century Gothic"/>
                <w:sz w:val="28"/>
                <w:szCs w:val="28"/>
              </w:rPr>
            </w:pPr>
            <w:r w:rsidRPr="00D01E92">
              <w:rPr>
                <w:rFonts w:ascii="Arial Narrow" w:eastAsia="Century Gothic" w:hAnsi="Arial Narrow" w:cs="Century Gothic"/>
                <w:sz w:val="28"/>
                <w:szCs w:val="28"/>
              </w:rPr>
              <w:t>Representante a la Cámara</w:t>
            </w:r>
          </w:p>
          <w:p w14:paraId="08AF7BCA" w14:textId="77777777" w:rsidR="00C14292" w:rsidRPr="00D01E92" w:rsidRDefault="00C14292" w:rsidP="00C14292">
            <w:pPr>
              <w:spacing w:line="240" w:lineRule="auto"/>
              <w:contextualSpacing/>
              <w:jc w:val="both"/>
              <w:rPr>
                <w:rFonts w:ascii="Arial Narrow" w:eastAsia="Century Gothic" w:hAnsi="Arial Narrow" w:cs="Century Gothic"/>
                <w:b/>
                <w:sz w:val="28"/>
                <w:szCs w:val="28"/>
              </w:rPr>
            </w:pPr>
            <w:r w:rsidRPr="00D01E92">
              <w:rPr>
                <w:rFonts w:ascii="Arial Narrow" w:eastAsia="Century Gothic" w:hAnsi="Arial Narrow" w:cs="Century Gothic"/>
                <w:sz w:val="28"/>
                <w:szCs w:val="28"/>
              </w:rPr>
              <w:t xml:space="preserve">Partido de la U </w:t>
            </w:r>
          </w:p>
          <w:p w14:paraId="4F2CB7D1" w14:textId="77777777" w:rsidR="00C14292" w:rsidRPr="00D01E92" w:rsidRDefault="00C14292" w:rsidP="00C14292">
            <w:pPr>
              <w:spacing w:line="240" w:lineRule="auto"/>
              <w:contextualSpacing/>
              <w:jc w:val="both"/>
              <w:rPr>
                <w:rFonts w:ascii="Arial Narrow" w:eastAsia="Century Gothic" w:hAnsi="Arial Narrow" w:cs="Century Gothic"/>
                <w:b/>
                <w:sz w:val="28"/>
                <w:szCs w:val="28"/>
              </w:rPr>
            </w:pPr>
          </w:p>
          <w:p w14:paraId="0194B90D" w14:textId="77777777" w:rsidR="00C14292" w:rsidRPr="00D01E92" w:rsidRDefault="00C14292" w:rsidP="00C14292">
            <w:pPr>
              <w:spacing w:line="240" w:lineRule="auto"/>
              <w:ind w:left="182" w:hanging="182"/>
              <w:contextualSpacing/>
              <w:jc w:val="both"/>
              <w:rPr>
                <w:rFonts w:ascii="Arial Narrow" w:eastAsia="Century Gothic" w:hAnsi="Arial Narrow" w:cs="Century Gothic"/>
                <w:b/>
                <w:sz w:val="28"/>
                <w:szCs w:val="28"/>
              </w:rPr>
            </w:pPr>
          </w:p>
        </w:tc>
      </w:tr>
      <w:tr w:rsidR="00C14292" w:rsidRPr="00D01E92" w14:paraId="335FFE98" w14:textId="77777777" w:rsidTr="00BD0F49">
        <w:trPr>
          <w:gridAfter w:val="1"/>
          <w:wAfter w:w="200" w:type="dxa"/>
          <w:trHeight w:val="1880"/>
        </w:trPr>
        <w:tc>
          <w:tcPr>
            <w:tcW w:w="4428" w:type="dxa"/>
          </w:tcPr>
          <w:p w14:paraId="2E031E17" w14:textId="77777777" w:rsidR="00C14292" w:rsidRPr="00D01E92" w:rsidRDefault="00C14292" w:rsidP="00C14292">
            <w:pPr>
              <w:spacing w:line="240" w:lineRule="auto"/>
              <w:contextualSpacing/>
              <w:jc w:val="both"/>
              <w:rPr>
                <w:rFonts w:ascii="Arial Narrow" w:eastAsia="Century Gothic" w:hAnsi="Arial Narrow" w:cs="Century Gothic"/>
                <w:b/>
                <w:sz w:val="28"/>
                <w:szCs w:val="28"/>
              </w:rPr>
            </w:pPr>
          </w:p>
          <w:p w14:paraId="0D0A090D" w14:textId="2C19CBB0" w:rsidR="00C14292" w:rsidRDefault="00C14292" w:rsidP="00C14292">
            <w:pPr>
              <w:spacing w:line="240" w:lineRule="auto"/>
              <w:contextualSpacing/>
              <w:jc w:val="both"/>
              <w:rPr>
                <w:rFonts w:ascii="Arial Narrow" w:eastAsia="Century Gothic" w:hAnsi="Arial Narrow" w:cs="Century Gothic"/>
                <w:b/>
                <w:sz w:val="28"/>
                <w:szCs w:val="28"/>
              </w:rPr>
            </w:pPr>
          </w:p>
          <w:p w14:paraId="74A7DE40" w14:textId="77777777" w:rsidR="00B27B98" w:rsidRPr="00D01E92" w:rsidRDefault="00B27B98" w:rsidP="00C14292">
            <w:pPr>
              <w:spacing w:line="240" w:lineRule="auto"/>
              <w:contextualSpacing/>
              <w:jc w:val="both"/>
              <w:rPr>
                <w:rFonts w:ascii="Arial Narrow" w:eastAsia="Century Gothic" w:hAnsi="Arial Narrow" w:cs="Century Gothic"/>
                <w:b/>
                <w:sz w:val="28"/>
                <w:szCs w:val="28"/>
              </w:rPr>
            </w:pPr>
          </w:p>
          <w:p w14:paraId="5509DE03" w14:textId="77777777" w:rsidR="00C14292" w:rsidRPr="00D01E92" w:rsidRDefault="00C14292" w:rsidP="00C14292">
            <w:pPr>
              <w:spacing w:line="240" w:lineRule="auto"/>
              <w:contextualSpacing/>
              <w:jc w:val="both"/>
              <w:rPr>
                <w:rFonts w:ascii="Arial Narrow" w:eastAsia="Century Gothic" w:hAnsi="Arial Narrow" w:cs="Century Gothic"/>
                <w:b/>
                <w:sz w:val="28"/>
                <w:szCs w:val="28"/>
              </w:rPr>
            </w:pPr>
          </w:p>
          <w:p w14:paraId="7696EBF5" w14:textId="77777777" w:rsidR="00C14292" w:rsidRPr="00D01E92" w:rsidRDefault="00C14292" w:rsidP="00C14292">
            <w:pPr>
              <w:spacing w:line="240" w:lineRule="auto"/>
              <w:contextualSpacing/>
              <w:jc w:val="both"/>
              <w:rPr>
                <w:rFonts w:ascii="Arial Narrow" w:eastAsia="Century Gothic" w:hAnsi="Arial Narrow" w:cs="Century Gothic"/>
                <w:b/>
                <w:sz w:val="28"/>
                <w:szCs w:val="28"/>
              </w:rPr>
            </w:pPr>
            <w:r w:rsidRPr="00D01E92">
              <w:rPr>
                <w:rFonts w:ascii="Arial Narrow" w:eastAsia="Century Gothic" w:hAnsi="Arial Narrow" w:cs="Century Gothic"/>
                <w:b/>
                <w:sz w:val="28"/>
                <w:szCs w:val="28"/>
              </w:rPr>
              <w:t xml:space="preserve">JUAN CARLOS WILLS OSPINA </w:t>
            </w:r>
          </w:p>
          <w:p w14:paraId="16E7122A" w14:textId="77777777" w:rsidR="00C14292" w:rsidRPr="00D01E92" w:rsidRDefault="00C14292" w:rsidP="00C14292">
            <w:pPr>
              <w:spacing w:line="240" w:lineRule="auto"/>
              <w:contextualSpacing/>
              <w:jc w:val="both"/>
              <w:rPr>
                <w:rFonts w:ascii="Arial Narrow" w:eastAsia="Century Gothic" w:hAnsi="Arial Narrow" w:cs="Century Gothic"/>
                <w:sz w:val="28"/>
                <w:szCs w:val="28"/>
              </w:rPr>
            </w:pPr>
            <w:r w:rsidRPr="00D01E92">
              <w:rPr>
                <w:rFonts w:ascii="Arial Narrow" w:eastAsia="Century Gothic" w:hAnsi="Arial Narrow" w:cs="Century Gothic"/>
                <w:sz w:val="28"/>
                <w:szCs w:val="28"/>
              </w:rPr>
              <w:t>Representante a la Cámara</w:t>
            </w:r>
          </w:p>
          <w:p w14:paraId="39B087FC" w14:textId="77777777" w:rsidR="00C14292" w:rsidRPr="00D01E92" w:rsidRDefault="00C14292" w:rsidP="00C14292">
            <w:pPr>
              <w:spacing w:line="240" w:lineRule="auto"/>
              <w:contextualSpacing/>
              <w:jc w:val="both"/>
              <w:rPr>
                <w:rFonts w:ascii="Arial Narrow" w:eastAsia="Century Gothic" w:hAnsi="Arial Narrow" w:cs="Century Gothic"/>
                <w:b/>
                <w:sz w:val="28"/>
                <w:szCs w:val="28"/>
              </w:rPr>
            </w:pPr>
            <w:r w:rsidRPr="00D01E92">
              <w:rPr>
                <w:rFonts w:ascii="Arial Narrow" w:eastAsia="Century Gothic" w:hAnsi="Arial Narrow" w:cs="Century Gothic"/>
                <w:sz w:val="28"/>
                <w:szCs w:val="28"/>
              </w:rPr>
              <w:t xml:space="preserve">Partido Conservador </w:t>
            </w:r>
          </w:p>
          <w:p w14:paraId="445DA743" w14:textId="77777777" w:rsidR="00C14292" w:rsidRPr="00D01E92" w:rsidRDefault="00C14292" w:rsidP="00C14292">
            <w:pPr>
              <w:spacing w:line="240" w:lineRule="auto"/>
              <w:contextualSpacing/>
              <w:jc w:val="both"/>
              <w:rPr>
                <w:rFonts w:ascii="Arial Narrow" w:eastAsia="Century Gothic" w:hAnsi="Arial Narrow" w:cs="Century Gothic"/>
                <w:b/>
                <w:sz w:val="28"/>
                <w:szCs w:val="28"/>
              </w:rPr>
            </w:pPr>
          </w:p>
          <w:p w14:paraId="57E69193" w14:textId="77777777" w:rsidR="00C14292" w:rsidRPr="00D01E92" w:rsidRDefault="00C14292" w:rsidP="00C14292">
            <w:pPr>
              <w:spacing w:line="240" w:lineRule="auto"/>
              <w:contextualSpacing/>
              <w:jc w:val="both"/>
              <w:rPr>
                <w:rFonts w:ascii="Arial Narrow" w:eastAsia="Century Gothic" w:hAnsi="Arial Narrow" w:cs="Century Gothic"/>
                <w:sz w:val="28"/>
                <w:szCs w:val="28"/>
              </w:rPr>
            </w:pPr>
          </w:p>
        </w:tc>
        <w:tc>
          <w:tcPr>
            <w:tcW w:w="4224" w:type="dxa"/>
          </w:tcPr>
          <w:p w14:paraId="436BA53F" w14:textId="77777777" w:rsidR="00C14292" w:rsidRPr="00D01E92" w:rsidRDefault="00C14292" w:rsidP="00C14292">
            <w:pPr>
              <w:spacing w:line="240" w:lineRule="auto"/>
              <w:ind w:left="182" w:hanging="182"/>
              <w:contextualSpacing/>
              <w:jc w:val="both"/>
              <w:rPr>
                <w:rFonts w:ascii="Arial Narrow" w:eastAsia="Century Gothic" w:hAnsi="Arial Narrow" w:cs="Century Gothic"/>
                <w:b/>
                <w:sz w:val="28"/>
                <w:szCs w:val="28"/>
              </w:rPr>
            </w:pPr>
          </w:p>
          <w:p w14:paraId="13AF2A7F" w14:textId="77777777" w:rsidR="00C14292" w:rsidRPr="00D01E92" w:rsidRDefault="00C14292" w:rsidP="00C14292">
            <w:pPr>
              <w:spacing w:line="240" w:lineRule="auto"/>
              <w:ind w:left="182" w:hanging="182"/>
              <w:contextualSpacing/>
              <w:jc w:val="both"/>
              <w:rPr>
                <w:rFonts w:ascii="Arial Narrow" w:eastAsia="Century Gothic" w:hAnsi="Arial Narrow" w:cs="Century Gothic"/>
                <w:b/>
                <w:sz w:val="28"/>
                <w:szCs w:val="28"/>
              </w:rPr>
            </w:pPr>
          </w:p>
          <w:p w14:paraId="237459E4" w14:textId="284EA7B6" w:rsidR="00C14292" w:rsidRDefault="00C14292" w:rsidP="00C14292">
            <w:pPr>
              <w:spacing w:line="240" w:lineRule="auto"/>
              <w:contextualSpacing/>
              <w:jc w:val="both"/>
              <w:rPr>
                <w:rFonts w:ascii="Arial Narrow" w:eastAsia="Century Gothic" w:hAnsi="Arial Narrow" w:cs="Century Gothic"/>
                <w:b/>
                <w:sz w:val="28"/>
                <w:szCs w:val="28"/>
              </w:rPr>
            </w:pPr>
          </w:p>
          <w:p w14:paraId="6C84A9B0" w14:textId="77777777" w:rsidR="00B27B98" w:rsidRPr="00D01E92" w:rsidRDefault="00B27B98" w:rsidP="00C14292">
            <w:pPr>
              <w:spacing w:line="240" w:lineRule="auto"/>
              <w:contextualSpacing/>
              <w:jc w:val="both"/>
              <w:rPr>
                <w:rFonts w:ascii="Arial Narrow" w:eastAsia="Century Gothic" w:hAnsi="Arial Narrow" w:cs="Century Gothic"/>
                <w:b/>
                <w:sz w:val="28"/>
                <w:szCs w:val="28"/>
              </w:rPr>
            </w:pPr>
          </w:p>
          <w:p w14:paraId="41A93458" w14:textId="77777777" w:rsidR="00C14292" w:rsidRPr="00D01E92" w:rsidRDefault="00C14292" w:rsidP="00C14292">
            <w:pPr>
              <w:spacing w:line="240" w:lineRule="auto"/>
              <w:contextualSpacing/>
              <w:jc w:val="both"/>
              <w:rPr>
                <w:rFonts w:ascii="Arial Narrow" w:eastAsia="Century Gothic" w:hAnsi="Arial Narrow" w:cs="Century Gothic"/>
                <w:b/>
                <w:sz w:val="28"/>
                <w:szCs w:val="28"/>
              </w:rPr>
            </w:pPr>
            <w:r w:rsidRPr="00D01E92">
              <w:rPr>
                <w:rFonts w:ascii="Arial Narrow" w:eastAsia="Century Gothic" w:hAnsi="Arial Narrow" w:cs="Century Gothic"/>
                <w:b/>
                <w:sz w:val="28"/>
                <w:szCs w:val="28"/>
              </w:rPr>
              <w:t xml:space="preserve">JUANITA MARIA GOEBERTUS E.  </w:t>
            </w:r>
          </w:p>
          <w:p w14:paraId="1349EB3A" w14:textId="77777777" w:rsidR="00C14292" w:rsidRPr="00D01E92" w:rsidRDefault="00C14292" w:rsidP="00C14292">
            <w:pPr>
              <w:spacing w:line="240" w:lineRule="auto"/>
              <w:contextualSpacing/>
              <w:jc w:val="both"/>
              <w:rPr>
                <w:rFonts w:ascii="Arial Narrow" w:eastAsia="Century Gothic" w:hAnsi="Arial Narrow" w:cs="Century Gothic"/>
                <w:sz w:val="28"/>
                <w:szCs w:val="28"/>
              </w:rPr>
            </w:pPr>
            <w:r w:rsidRPr="00D01E92">
              <w:rPr>
                <w:rFonts w:ascii="Arial Narrow" w:eastAsia="Century Gothic" w:hAnsi="Arial Narrow" w:cs="Century Gothic"/>
                <w:sz w:val="28"/>
                <w:szCs w:val="28"/>
              </w:rPr>
              <w:t>Representante a la Cámara</w:t>
            </w:r>
          </w:p>
          <w:p w14:paraId="15D1C460" w14:textId="77777777" w:rsidR="00C14292" w:rsidRPr="00D01E92" w:rsidRDefault="00C14292" w:rsidP="00C14292">
            <w:pPr>
              <w:spacing w:line="240" w:lineRule="auto"/>
              <w:contextualSpacing/>
              <w:jc w:val="both"/>
              <w:rPr>
                <w:rFonts w:ascii="Arial Narrow" w:eastAsia="Century Gothic" w:hAnsi="Arial Narrow" w:cs="Century Gothic"/>
                <w:b/>
                <w:sz w:val="28"/>
                <w:szCs w:val="28"/>
              </w:rPr>
            </w:pPr>
            <w:r w:rsidRPr="00D01E92">
              <w:rPr>
                <w:rFonts w:ascii="Arial Narrow" w:eastAsia="Century Gothic" w:hAnsi="Arial Narrow" w:cs="Century Gothic"/>
                <w:sz w:val="28"/>
                <w:szCs w:val="28"/>
              </w:rPr>
              <w:t xml:space="preserve">Partido Verde </w:t>
            </w:r>
          </w:p>
          <w:p w14:paraId="2B67421C" w14:textId="77777777" w:rsidR="00C14292" w:rsidRPr="00D01E92" w:rsidRDefault="00C14292" w:rsidP="00C14292">
            <w:pPr>
              <w:spacing w:line="240" w:lineRule="auto"/>
              <w:contextualSpacing/>
              <w:jc w:val="both"/>
              <w:rPr>
                <w:rFonts w:ascii="Arial Narrow" w:eastAsia="Century Gothic" w:hAnsi="Arial Narrow" w:cs="Century Gothic"/>
                <w:b/>
                <w:sz w:val="28"/>
                <w:szCs w:val="28"/>
              </w:rPr>
            </w:pPr>
          </w:p>
        </w:tc>
      </w:tr>
      <w:tr w:rsidR="00C14292" w:rsidRPr="00D01E92" w14:paraId="509B73D5" w14:textId="77777777" w:rsidTr="00BD0F49">
        <w:trPr>
          <w:gridAfter w:val="1"/>
          <w:wAfter w:w="200" w:type="dxa"/>
          <w:trHeight w:val="1880"/>
        </w:trPr>
        <w:tc>
          <w:tcPr>
            <w:tcW w:w="4428" w:type="dxa"/>
          </w:tcPr>
          <w:p w14:paraId="2DD122B1" w14:textId="386EA419" w:rsidR="00C14292" w:rsidRDefault="00C14292" w:rsidP="00C14292">
            <w:pPr>
              <w:spacing w:line="240" w:lineRule="auto"/>
              <w:contextualSpacing/>
              <w:jc w:val="both"/>
              <w:rPr>
                <w:rFonts w:ascii="Arial Narrow" w:eastAsia="Century Gothic" w:hAnsi="Arial Narrow" w:cs="Century Gothic"/>
                <w:b/>
                <w:sz w:val="28"/>
                <w:szCs w:val="28"/>
              </w:rPr>
            </w:pPr>
          </w:p>
          <w:p w14:paraId="079A20F0" w14:textId="3EEE4019" w:rsidR="00B27B98" w:rsidRDefault="00B27B98" w:rsidP="00C14292">
            <w:pPr>
              <w:spacing w:line="240" w:lineRule="auto"/>
              <w:contextualSpacing/>
              <w:jc w:val="both"/>
              <w:rPr>
                <w:rFonts w:ascii="Arial Narrow" w:eastAsia="Century Gothic" w:hAnsi="Arial Narrow" w:cs="Century Gothic"/>
                <w:b/>
                <w:sz w:val="28"/>
                <w:szCs w:val="28"/>
              </w:rPr>
            </w:pPr>
          </w:p>
          <w:p w14:paraId="551DDFAA" w14:textId="77777777" w:rsidR="00B27B98" w:rsidRPr="00D01E92" w:rsidRDefault="00B27B98" w:rsidP="00C14292">
            <w:pPr>
              <w:spacing w:line="240" w:lineRule="auto"/>
              <w:contextualSpacing/>
              <w:jc w:val="both"/>
              <w:rPr>
                <w:rFonts w:ascii="Arial Narrow" w:eastAsia="Century Gothic" w:hAnsi="Arial Narrow" w:cs="Century Gothic"/>
                <w:b/>
                <w:sz w:val="28"/>
                <w:szCs w:val="28"/>
              </w:rPr>
            </w:pPr>
          </w:p>
          <w:p w14:paraId="4B2CB9EA" w14:textId="77777777" w:rsidR="00C14292" w:rsidRPr="00D01E92" w:rsidRDefault="00C14292" w:rsidP="00C14292">
            <w:pPr>
              <w:spacing w:line="240" w:lineRule="auto"/>
              <w:contextualSpacing/>
              <w:jc w:val="both"/>
              <w:rPr>
                <w:rFonts w:ascii="Arial Narrow" w:eastAsia="Century Gothic" w:hAnsi="Arial Narrow" w:cs="Century Gothic"/>
                <w:b/>
                <w:sz w:val="28"/>
                <w:szCs w:val="28"/>
              </w:rPr>
            </w:pPr>
            <w:r w:rsidRPr="00D01E92">
              <w:rPr>
                <w:rFonts w:ascii="Arial Narrow" w:eastAsia="Century Gothic" w:hAnsi="Arial Narrow" w:cs="Century Gothic"/>
                <w:b/>
                <w:sz w:val="28"/>
                <w:szCs w:val="28"/>
              </w:rPr>
              <w:t>LUIS ALBERTO ALBAN URBANO</w:t>
            </w:r>
          </w:p>
          <w:p w14:paraId="0DE52924" w14:textId="77777777" w:rsidR="00C14292" w:rsidRPr="00D01E92" w:rsidRDefault="00C14292" w:rsidP="00C14292">
            <w:pPr>
              <w:spacing w:line="240" w:lineRule="auto"/>
              <w:contextualSpacing/>
              <w:jc w:val="both"/>
              <w:rPr>
                <w:rFonts w:ascii="Arial Narrow" w:eastAsia="Century Gothic" w:hAnsi="Arial Narrow" w:cs="Century Gothic"/>
                <w:sz w:val="28"/>
                <w:szCs w:val="28"/>
              </w:rPr>
            </w:pPr>
            <w:r w:rsidRPr="00D01E92">
              <w:rPr>
                <w:rFonts w:ascii="Arial Narrow" w:eastAsia="Century Gothic" w:hAnsi="Arial Narrow" w:cs="Century Gothic"/>
                <w:sz w:val="28"/>
                <w:szCs w:val="28"/>
              </w:rPr>
              <w:t>Representante a la Cámara</w:t>
            </w:r>
          </w:p>
          <w:p w14:paraId="2B680978" w14:textId="77777777" w:rsidR="00C14292" w:rsidRPr="00D01E92" w:rsidRDefault="00C14292" w:rsidP="00C14292">
            <w:pPr>
              <w:spacing w:line="240" w:lineRule="auto"/>
              <w:contextualSpacing/>
              <w:jc w:val="both"/>
              <w:rPr>
                <w:rFonts w:ascii="Arial Narrow" w:eastAsia="Century Gothic" w:hAnsi="Arial Narrow" w:cs="Century Gothic"/>
                <w:b/>
                <w:sz w:val="28"/>
                <w:szCs w:val="28"/>
              </w:rPr>
            </w:pPr>
            <w:r w:rsidRPr="00D01E92">
              <w:rPr>
                <w:rFonts w:ascii="Arial Narrow" w:eastAsia="Century Gothic" w:hAnsi="Arial Narrow" w:cs="Century Gothic"/>
                <w:sz w:val="28"/>
                <w:szCs w:val="28"/>
              </w:rPr>
              <w:t xml:space="preserve">Partido F.A.R.C  </w:t>
            </w:r>
          </w:p>
          <w:p w14:paraId="51400DB2" w14:textId="77777777" w:rsidR="00C14292" w:rsidRPr="00D01E92" w:rsidRDefault="00C14292" w:rsidP="00C14292">
            <w:pPr>
              <w:spacing w:line="240" w:lineRule="auto"/>
              <w:contextualSpacing/>
              <w:jc w:val="both"/>
              <w:rPr>
                <w:rFonts w:ascii="Arial Narrow" w:eastAsia="Century Gothic" w:hAnsi="Arial Narrow" w:cs="Century Gothic"/>
                <w:b/>
                <w:sz w:val="28"/>
                <w:szCs w:val="28"/>
              </w:rPr>
            </w:pPr>
          </w:p>
          <w:p w14:paraId="215A3BFC" w14:textId="77777777" w:rsidR="00C14292" w:rsidRPr="00D01E92" w:rsidRDefault="00C14292" w:rsidP="00C14292">
            <w:pPr>
              <w:spacing w:line="240" w:lineRule="auto"/>
              <w:contextualSpacing/>
              <w:jc w:val="both"/>
              <w:rPr>
                <w:rFonts w:ascii="Arial Narrow" w:eastAsia="Century Gothic" w:hAnsi="Arial Narrow" w:cs="Century Gothic"/>
                <w:b/>
                <w:sz w:val="28"/>
                <w:szCs w:val="28"/>
              </w:rPr>
            </w:pPr>
          </w:p>
          <w:p w14:paraId="1DBBEF9E" w14:textId="77777777" w:rsidR="00C14292" w:rsidRPr="00D01E92" w:rsidRDefault="00C14292" w:rsidP="00C14292">
            <w:pPr>
              <w:spacing w:line="240" w:lineRule="auto"/>
              <w:contextualSpacing/>
              <w:jc w:val="both"/>
              <w:rPr>
                <w:rFonts w:ascii="Arial Narrow" w:eastAsia="Century Gothic" w:hAnsi="Arial Narrow" w:cs="Century Gothic"/>
                <w:b/>
                <w:sz w:val="28"/>
                <w:szCs w:val="28"/>
              </w:rPr>
            </w:pPr>
          </w:p>
          <w:p w14:paraId="4DE4354C" w14:textId="77777777" w:rsidR="00C14292" w:rsidRPr="00D01E92" w:rsidRDefault="00C14292" w:rsidP="00C14292">
            <w:pPr>
              <w:spacing w:line="240" w:lineRule="auto"/>
              <w:contextualSpacing/>
              <w:jc w:val="both"/>
              <w:rPr>
                <w:rFonts w:ascii="Arial Narrow" w:eastAsia="Century Gothic" w:hAnsi="Arial Narrow" w:cs="Century Gothic"/>
                <w:b/>
                <w:sz w:val="28"/>
                <w:szCs w:val="28"/>
              </w:rPr>
            </w:pPr>
          </w:p>
          <w:p w14:paraId="46DD8797" w14:textId="77777777" w:rsidR="00C14292" w:rsidRPr="00D01E92" w:rsidRDefault="00C14292" w:rsidP="00C14292">
            <w:pPr>
              <w:spacing w:line="240" w:lineRule="auto"/>
              <w:contextualSpacing/>
              <w:jc w:val="both"/>
              <w:rPr>
                <w:rFonts w:ascii="Arial Narrow" w:eastAsia="Century Gothic" w:hAnsi="Arial Narrow" w:cs="Century Gothic"/>
                <w:b/>
                <w:sz w:val="28"/>
                <w:szCs w:val="28"/>
              </w:rPr>
            </w:pPr>
          </w:p>
          <w:p w14:paraId="3BA783AC" w14:textId="77777777" w:rsidR="00C14292" w:rsidRPr="00D01E92" w:rsidRDefault="00C14292" w:rsidP="00C14292">
            <w:pPr>
              <w:spacing w:line="240" w:lineRule="auto"/>
              <w:contextualSpacing/>
              <w:jc w:val="both"/>
              <w:rPr>
                <w:rFonts w:ascii="Arial Narrow" w:eastAsia="Century Gothic" w:hAnsi="Arial Narrow" w:cs="Century Gothic"/>
                <w:b/>
                <w:sz w:val="28"/>
                <w:szCs w:val="28"/>
              </w:rPr>
            </w:pPr>
          </w:p>
          <w:p w14:paraId="247332D4" w14:textId="77777777" w:rsidR="00C14292" w:rsidRPr="00D01E92" w:rsidRDefault="00C14292" w:rsidP="00C14292">
            <w:pPr>
              <w:spacing w:line="240" w:lineRule="auto"/>
              <w:contextualSpacing/>
              <w:jc w:val="both"/>
              <w:rPr>
                <w:rFonts w:ascii="Arial Narrow" w:eastAsia="Century Gothic" w:hAnsi="Arial Narrow" w:cs="Century Gothic"/>
                <w:sz w:val="28"/>
                <w:szCs w:val="28"/>
              </w:rPr>
            </w:pPr>
          </w:p>
        </w:tc>
        <w:tc>
          <w:tcPr>
            <w:tcW w:w="4224" w:type="dxa"/>
          </w:tcPr>
          <w:p w14:paraId="7271C495" w14:textId="77777777" w:rsidR="00C14292" w:rsidRPr="00D01E92" w:rsidRDefault="00C14292" w:rsidP="00C14292">
            <w:pPr>
              <w:spacing w:line="240" w:lineRule="auto"/>
              <w:ind w:left="182" w:hanging="182"/>
              <w:contextualSpacing/>
              <w:jc w:val="both"/>
              <w:rPr>
                <w:rFonts w:ascii="Arial Narrow" w:eastAsia="Century Gothic" w:hAnsi="Arial Narrow" w:cs="Century Gothic"/>
                <w:b/>
                <w:sz w:val="28"/>
                <w:szCs w:val="28"/>
              </w:rPr>
            </w:pPr>
          </w:p>
          <w:p w14:paraId="118F729B" w14:textId="77777777" w:rsidR="00C14292" w:rsidRPr="00D01E92" w:rsidRDefault="00C14292" w:rsidP="00C14292">
            <w:pPr>
              <w:spacing w:line="240" w:lineRule="auto"/>
              <w:ind w:left="182" w:hanging="182"/>
              <w:contextualSpacing/>
              <w:jc w:val="both"/>
              <w:rPr>
                <w:rFonts w:ascii="Arial Narrow" w:eastAsia="Century Gothic" w:hAnsi="Arial Narrow" w:cs="Century Gothic"/>
                <w:b/>
                <w:sz w:val="28"/>
                <w:szCs w:val="28"/>
              </w:rPr>
            </w:pPr>
          </w:p>
          <w:p w14:paraId="472C5C21" w14:textId="77777777" w:rsidR="00C14292" w:rsidRPr="00D01E92" w:rsidRDefault="00C14292" w:rsidP="00C14292">
            <w:pPr>
              <w:spacing w:line="240" w:lineRule="auto"/>
              <w:ind w:left="182" w:hanging="182"/>
              <w:contextualSpacing/>
              <w:jc w:val="both"/>
              <w:rPr>
                <w:rFonts w:ascii="Arial Narrow" w:eastAsia="Century Gothic" w:hAnsi="Arial Narrow" w:cs="Century Gothic"/>
                <w:b/>
                <w:sz w:val="28"/>
                <w:szCs w:val="28"/>
              </w:rPr>
            </w:pPr>
          </w:p>
          <w:p w14:paraId="0BD74432" w14:textId="77777777" w:rsidR="00C14292" w:rsidRPr="00D01E92" w:rsidRDefault="00C14292" w:rsidP="00C14292">
            <w:pPr>
              <w:spacing w:line="240" w:lineRule="auto"/>
              <w:ind w:left="182" w:hanging="182"/>
              <w:contextualSpacing/>
              <w:jc w:val="both"/>
              <w:rPr>
                <w:rFonts w:ascii="Arial Narrow" w:eastAsia="Century Gothic" w:hAnsi="Arial Narrow" w:cs="Century Gothic"/>
                <w:b/>
                <w:sz w:val="28"/>
                <w:szCs w:val="28"/>
              </w:rPr>
            </w:pPr>
          </w:p>
          <w:p w14:paraId="5C5FDC59" w14:textId="77777777" w:rsidR="00C14292" w:rsidRPr="00D01E92" w:rsidRDefault="00C14292" w:rsidP="00C14292">
            <w:pPr>
              <w:spacing w:line="240" w:lineRule="auto"/>
              <w:ind w:left="182" w:hanging="182"/>
              <w:contextualSpacing/>
              <w:jc w:val="both"/>
              <w:rPr>
                <w:rFonts w:ascii="Arial Narrow" w:eastAsia="Century Gothic" w:hAnsi="Arial Narrow" w:cs="Century Gothic"/>
                <w:b/>
                <w:sz w:val="28"/>
                <w:szCs w:val="28"/>
              </w:rPr>
            </w:pPr>
          </w:p>
          <w:p w14:paraId="64952649" w14:textId="77777777" w:rsidR="00C14292" w:rsidRPr="00D01E92" w:rsidRDefault="00C14292" w:rsidP="00C14292">
            <w:pPr>
              <w:spacing w:line="240" w:lineRule="auto"/>
              <w:ind w:left="182" w:hanging="182"/>
              <w:contextualSpacing/>
              <w:jc w:val="both"/>
              <w:rPr>
                <w:rFonts w:ascii="Arial Narrow" w:eastAsia="Century Gothic" w:hAnsi="Arial Narrow" w:cs="Century Gothic"/>
                <w:b/>
                <w:sz w:val="28"/>
                <w:szCs w:val="28"/>
              </w:rPr>
            </w:pPr>
          </w:p>
          <w:p w14:paraId="48EAA432" w14:textId="77777777" w:rsidR="00C14292" w:rsidRPr="00D01E92" w:rsidRDefault="00C14292" w:rsidP="00C14292">
            <w:pPr>
              <w:spacing w:line="240" w:lineRule="auto"/>
              <w:ind w:left="182" w:hanging="182"/>
              <w:contextualSpacing/>
              <w:jc w:val="both"/>
              <w:rPr>
                <w:rFonts w:ascii="Arial Narrow" w:eastAsia="Century Gothic" w:hAnsi="Arial Narrow" w:cs="Century Gothic"/>
                <w:b/>
                <w:sz w:val="28"/>
                <w:szCs w:val="28"/>
              </w:rPr>
            </w:pPr>
          </w:p>
          <w:p w14:paraId="6CA9FEA8" w14:textId="77777777" w:rsidR="00C14292" w:rsidRPr="00D01E92" w:rsidRDefault="00C14292" w:rsidP="00C14292">
            <w:pPr>
              <w:spacing w:line="240" w:lineRule="auto"/>
              <w:ind w:left="182" w:hanging="182"/>
              <w:contextualSpacing/>
              <w:jc w:val="both"/>
              <w:rPr>
                <w:rFonts w:ascii="Arial Narrow" w:eastAsia="Century Gothic" w:hAnsi="Arial Narrow" w:cs="Century Gothic"/>
                <w:b/>
                <w:sz w:val="28"/>
                <w:szCs w:val="28"/>
              </w:rPr>
            </w:pPr>
          </w:p>
        </w:tc>
      </w:tr>
    </w:tbl>
    <w:p w14:paraId="76B79582" w14:textId="15CC5C49" w:rsidR="00C14292" w:rsidRDefault="00C14292" w:rsidP="00C14292">
      <w:pPr>
        <w:pBdr>
          <w:top w:val="nil"/>
          <w:left w:val="nil"/>
          <w:bottom w:val="nil"/>
          <w:right w:val="nil"/>
          <w:between w:val="nil"/>
        </w:pBdr>
        <w:rPr>
          <w:rFonts w:ascii="Arial Narrow" w:eastAsia="Century Gothic" w:hAnsi="Arial Narrow" w:cs="Century Gothic"/>
          <w:sz w:val="28"/>
          <w:szCs w:val="28"/>
        </w:rPr>
      </w:pPr>
    </w:p>
    <w:p w14:paraId="5BFD0D72" w14:textId="15F9BFB5" w:rsidR="00C14292" w:rsidRDefault="00C14292" w:rsidP="00C14292">
      <w:pPr>
        <w:pBdr>
          <w:top w:val="nil"/>
          <w:left w:val="nil"/>
          <w:bottom w:val="nil"/>
          <w:right w:val="nil"/>
          <w:between w:val="nil"/>
        </w:pBdr>
        <w:rPr>
          <w:rFonts w:ascii="Arial Narrow" w:eastAsia="Century Gothic" w:hAnsi="Arial Narrow" w:cs="Century Gothic"/>
          <w:sz w:val="28"/>
          <w:szCs w:val="28"/>
        </w:rPr>
      </w:pPr>
    </w:p>
    <w:p w14:paraId="6F4242E5" w14:textId="77777777" w:rsidR="00C14292" w:rsidRPr="00D01E92" w:rsidRDefault="00C14292" w:rsidP="00C14292">
      <w:pPr>
        <w:pBdr>
          <w:top w:val="nil"/>
          <w:left w:val="nil"/>
          <w:bottom w:val="nil"/>
          <w:right w:val="nil"/>
          <w:between w:val="nil"/>
        </w:pBdr>
        <w:rPr>
          <w:rFonts w:ascii="Arial Narrow" w:eastAsia="Century Gothic" w:hAnsi="Arial Narrow" w:cs="Century Gothic"/>
          <w:sz w:val="28"/>
          <w:szCs w:val="28"/>
        </w:rPr>
      </w:pPr>
    </w:p>
    <w:p w14:paraId="7BEF81FA" w14:textId="77777777" w:rsidR="00C14292" w:rsidRPr="00D01E92" w:rsidRDefault="00C14292" w:rsidP="00C14292">
      <w:pPr>
        <w:pBdr>
          <w:top w:val="nil"/>
          <w:left w:val="nil"/>
          <w:bottom w:val="nil"/>
          <w:right w:val="nil"/>
          <w:between w:val="nil"/>
        </w:pBdr>
        <w:jc w:val="center"/>
        <w:rPr>
          <w:rFonts w:ascii="Arial Narrow" w:eastAsia="Century Gothic" w:hAnsi="Arial Narrow" w:cs="Century Gothic"/>
          <w:b/>
          <w:color w:val="000000"/>
          <w:sz w:val="28"/>
          <w:szCs w:val="28"/>
        </w:rPr>
      </w:pPr>
      <w:r w:rsidRPr="00D01E92">
        <w:rPr>
          <w:rFonts w:ascii="Arial Narrow" w:eastAsia="Century Gothic" w:hAnsi="Arial Narrow" w:cs="Century Gothic"/>
          <w:b/>
          <w:color w:val="000000"/>
          <w:sz w:val="28"/>
          <w:szCs w:val="28"/>
        </w:rPr>
        <w:lastRenderedPageBreak/>
        <w:t>I. OBJETO DEL PROYECTO DE LEY</w:t>
      </w:r>
    </w:p>
    <w:p w14:paraId="2E5A4770" w14:textId="77777777" w:rsidR="00C14292" w:rsidRPr="00D01E92" w:rsidRDefault="00C14292" w:rsidP="00C14292">
      <w:pPr>
        <w:spacing w:before="240" w:after="240"/>
        <w:jc w:val="both"/>
        <w:rPr>
          <w:rFonts w:ascii="Arial Narrow" w:eastAsia="Century Gothic" w:hAnsi="Arial Narrow" w:cs="Century Gothic"/>
          <w:sz w:val="28"/>
          <w:szCs w:val="28"/>
        </w:rPr>
      </w:pPr>
      <w:r w:rsidRPr="00D01E92">
        <w:rPr>
          <w:rFonts w:ascii="Arial Narrow" w:eastAsia="Century Gothic" w:hAnsi="Arial Narrow" w:cs="Century Gothic"/>
          <w:sz w:val="28"/>
          <w:szCs w:val="28"/>
        </w:rPr>
        <w:t xml:space="preserve">El presente Proyecto de Ley tiene por objeto, modificar el artículo 380 del Código Penal Colombiano (Ley 599 de 2000), con el fin de actualizarlo en lo que tiene que ver con la conducta punible de suministro o formulación ilegal a deportistas y de esta manera llegar a una armonización normativa con las disposiciones que en materia de dopaje se dispuso en el Código Mundial Antidopaje y la Convención Internacional contra el Dopaje en el deporte. </w:t>
      </w:r>
    </w:p>
    <w:p w14:paraId="587351A7" w14:textId="77777777" w:rsidR="00C14292" w:rsidRPr="00D01E92" w:rsidRDefault="00C14292" w:rsidP="00C14292">
      <w:pPr>
        <w:pBdr>
          <w:top w:val="nil"/>
          <w:left w:val="nil"/>
          <w:bottom w:val="nil"/>
          <w:right w:val="nil"/>
          <w:between w:val="nil"/>
        </w:pBdr>
        <w:jc w:val="center"/>
        <w:rPr>
          <w:rFonts w:ascii="Arial Narrow" w:eastAsia="Century Gothic" w:hAnsi="Arial Narrow" w:cs="Century Gothic"/>
          <w:b/>
          <w:color w:val="000000"/>
          <w:sz w:val="28"/>
          <w:szCs w:val="28"/>
        </w:rPr>
      </w:pPr>
      <w:r w:rsidRPr="00D01E92">
        <w:rPr>
          <w:rFonts w:ascii="Arial Narrow" w:eastAsia="Century Gothic" w:hAnsi="Arial Narrow" w:cs="Century Gothic"/>
          <w:b/>
          <w:color w:val="000000"/>
          <w:sz w:val="28"/>
          <w:szCs w:val="28"/>
        </w:rPr>
        <w:t>II. ANTECEDENTES</w:t>
      </w:r>
    </w:p>
    <w:p w14:paraId="5B1055D3" w14:textId="77777777" w:rsidR="00C14292" w:rsidRPr="00D01E92" w:rsidRDefault="00C14292" w:rsidP="00C14292">
      <w:pPr>
        <w:spacing w:before="280"/>
        <w:jc w:val="both"/>
        <w:rPr>
          <w:rFonts w:ascii="Arial Narrow" w:eastAsia="Century Gothic" w:hAnsi="Arial Narrow" w:cs="Century Gothic"/>
          <w:sz w:val="28"/>
          <w:szCs w:val="28"/>
        </w:rPr>
      </w:pPr>
      <w:r w:rsidRPr="00D01E92">
        <w:rPr>
          <w:rFonts w:ascii="Arial Narrow" w:eastAsia="Century Gothic" w:hAnsi="Arial Narrow" w:cs="Century Gothic"/>
          <w:sz w:val="28"/>
          <w:szCs w:val="28"/>
        </w:rPr>
        <w:t>El 30 de septiembre de 2019 fue radicado el Proyecto de Ley Nº 252 de 2019 Cámara, por medio de la cual se modifica el artículo 380 del Código Penal (Ley 599 de 2000)</w:t>
      </w:r>
      <w:r w:rsidRPr="00D01E92">
        <w:rPr>
          <w:rFonts w:ascii="Arial Narrow" w:eastAsia="Century Gothic" w:hAnsi="Arial Narrow" w:cs="Century Gothic"/>
          <w:i/>
          <w:sz w:val="28"/>
          <w:szCs w:val="28"/>
        </w:rPr>
        <w:t>.</w:t>
      </w:r>
      <w:r w:rsidRPr="00D01E92">
        <w:rPr>
          <w:rFonts w:ascii="Arial Narrow" w:eastAsia="Century Gothic" w:hAnsi="Arial Narrow" w:cs="Century Gothic"/>
          <w:sz w:val="28"/>
          <w:szCs w:val="28"/>
        </w:rPr>
        <w:t xml:space="preserve">; por iniciativa de la Ministra de Justicia, Doctora Margarita Cabello Blanco, el Ministro del Deporte, Doctor Ernesto Lucena Barreto y los Representantes a la Cámara, Alfredo Cuello Baute, Carlos Alberto Cuenca Chaux y Mauricio Parodi Díaz </w:t>
      </w:r>
    </w:p>
    <w:p w14:paraId="1CB9578C" w14:textId="77777777" w:rsidR="00C14292" w:rsidRPr="00D01E92" w:rsidRDefault="00C14292" w:rsidP="00C14292">
      <w:pPr>
        <w:spacing w:before="240" w:after="240"/>
        <w:jc w:val="both"/>
        <w:rPr>
          <w:rFonts w:ascii="Arial Narrow" w:eastAsia="Century Gothic" w:hAnsi="Arial Narrow" w:cs="Century Gothic"/>
          <w:sz w:val="28"/>
          <w:szCs w:val="28"/>
        </w:rPr>
      </w:pPr>
      <w:r w:rsidRPr="00D01E92">
        <w:rPr>
          <w:rFonts w:ascii="Arial Narrow" w:eastAsia="Century Gothic" w:hAnsi="Arial Narrow" w:cs="Century Gothic"/>
          <w:sz w:val="28"/>
          <w:szCs w:val="28"/>
        </w:rPr>
        <w:t xml:space="preserve">El proyecto de ley fue publicado en la Gaceta del Congreso número 979 de 2019 y remitido a la Comisión Primera Constitucional de Cámara para su estudio correspondiente, de conformidad con la Ley 3º de 1992. </w:t>
      </w:r>
    </w:p>
    <w:p w14:paraId="45D33063" w14:textId="77777777" w:rsidR="00367537" w:rsidRDefault="00C14292" w:rsidP="00C14292">
      <w:pPr>
        <w:spacing w:before="240" w:after="240"/>
        <w:jc w:val="both"/>
        <w:rPr>
          <w:rFonts w:ascii="Arial Narrow" w:eastAsia="Century Gothic" w:hAnsi="Arial Narrow" w:cs="Century Gothic"/>
          <w:sz w:val="28"/>
          <w:szCs w:val="28"/>
        </w:rPr>
      </w:pPr>
      <w:r w:rsidRPr="00D01E92">
        <w:rPr>
          <w:rFonts w:ascii="Arial Narrow" w:eastAsia="Century Gothic" w:hAnsi="Arial Narrow" w:cs="Century Gothic"/>
          <w:sz w:val="28"/>
          <w:szCs w:val="28"/>
        </w:rPr>
        <w:t xml:space="preserve">La Mesa Directiva de la Comisión Primera de la Cámara mediante Acta Nº 015 designó como ponentes para primer debate a los Honorables Representantes Hernán Gustavo Estupiñan Calvache -C-,  Jaime Rodríguez Contreras –C-, Edward David Rodríguez Rodríguez, Alfredo Rafael Deluque Zuleta, Juan Carlos Wills Ospina Juanita María Goebertus Estrada y Luis Alberto Albán Urbano. </w:t>
      </w:r>
    </w:p>
    <w:p w14:paraId="424915A5" w14:textId="52E67A29" w:rsidR="00C14292" w:rsidRPr="00A10639" w:rsidRDefault="00367537" w:rsidP="00C14292">
      <w:pPr>
        <w:spacing w:before="240" w:after="240"/>
        <w:jc w:val="both"/>
        <w:rPr>
          <w:rFonts w:ascii="Arial Narrow" w:eastAsia="Century Gothic" w:hAnsi="Arial Narrow" w:cs="Century Gothic"/>
          <w:sz w:val="28"/>
          <w:szCs w:val="28"/>
        </w:rPr>
      </w:pPr>
      <w:r w:rsidRPr="00A10639">
        <w:rPr>
          <w:rFonts w:ascii="Arial Narrow" w:eastAsia="Century Gothic" w:hAnsi="Arial Narrow" w:cs="Century Gothic"/>
          <w:sz w:val="28"/>
          <w:szCs w:val="28"/>
        </w:rPr>
        <w:t xml:space="preserve">El día 14 de noviembre se realizó audiencia pública, tal y como fue autorizada mediante la resolución 020 de noviembre 7 de 2019 </w:t>
      </w:r>
      <w:r w:rsidR="00B62173" w:rsidRPr="00A10639">
        <w:rPr>
          <w:rFonts w:ascii="Arial Narrow" w:eastAsia="Century Gothic" w:hAnsi="Arial Narrow" w:cs="Century Gothic"/>
          <w:sz w:val="28"/>
          <w:szCs w:val="28"/>
        </w:rPr>
        <w:t xml:space="preserve"> proferida por </w:t>
      </w:r>
      <w:r w:rsidRPr="00A10639">
        <w:rPr>
          <w:rFonts w:ascii="Arial Narrow" w:eastAsia="Century Gothic" w:hAnsi="Arial Narrow" w:cs="Century Gothic"/>
          <w:sz w:val="28"/>
          <w:szCs w:val="28"/>
        </w:rPr>
        <w:t>la Comisión Primera de la Cámara de Representantes, en la misma se indicó:</w:t>
      </w:r>
    </w:p>
    <w:p w14:paraId="78543CC8" w14:textId="418E9EED" w:rsidR="00367537" w:rsidRPr="00A10639" w:rsidRDefault="00367537" w:rsidP="00C14292">
      <w:pPr>
        <w:spacing w:before="240" w:after="240"/>
        <w:jc w:val="both"/>
        <w:rPr>
          <w:rFonts w:ascii="Arial Narrow" w:eastAsia="Century Gothic" w:hAnsi="Arial Narrow" w:cs="Century Gothic"/>
          <w:sz w:val="28"/>
          <w:szCs w:val="28"/>
        </w:rPr>
      </w:pPr>
      <w:r w:rsidRPr="00A10639">
        <w:rPr>
          <w:rFonts w:ascii="Arial Narrow" w:eastAsia="Century Gothic" w:hAnsi="Arial Narrow" w:cs="Century Gothic"/>
          <w:sz w:val="28"/>
          <w:szCs w:val="28"/>
        </w:rPr>
        <w:t xml:space="preserve">Jennifer Pinilla, Docente de la Universidad Militar referenció a modo </w:t>
      </w:r>
      <w:r w:rsidR="000A3308" w:rsidRPr="00A10639">
        <w:rPr>
          <w:rFonts w:ascii="Arial Narrow" w:eastAsia="Century Gothic" w:hAnsi="Arial Narrow" w:cs="Century Gothic"/>
          <w:sz w:val="28"/>
          <w:szCs w:val="28"/>
        </w:rPr>
        <w:t>de precisiones que</w:t>
      </w:r>
      <w:r w:rsidR="00B62173" w:rsidRPr="00A10639">
        <w:rPr>
          <w:rFonts w:ascii="Arial Narrow" w:eastAsia="Century Gothic" w:hAnsi="Arial Narrow" w:cs="Century Gothic"/>
          <w:sz w:val="28"/>
          <w:szCs w:val="28"/>
        </w:rPr>
        <w:t>: (1)</w:t>
      </w:r>
      <w:r w:rsidR="00BD0F49" w:rsidRPr="00A10639">
        <w:rPr>
          <w:rFonts w:ascii="Arial Narrow" w:eastAsia="Century Gothic" w:hAnsi="Arial Narrow" w:cs="Century Gothic"/>
          <w:sz w:val="28"/>
          <w:szCs w:val="28"/>
        </w:rPr>
        <w:t xml:space="preserve"> se debe analizar </w:t>
      </w:r>
      <w:r w:rsidR="00B62173" w:rsidRPr="00A10639">
        <w:rPr>
          <w:rFonts w:ascii="Arial Narrow" w:eastAsia="Century Gothic" w:hAnsi="Arial Narrow" w:cs="Century Gothic"/>
          <w:sz w:val="28"/>
          <w:szCs w:val="28"/>
        </w:rPr>
        <w:t>la ubicación del delito</w:t>
      </w:r>
      <w:r w:rsidR="00BD0F49" w:rsidRPr="00A10639">
        <w:rPr>
          <w:rFonts w:ascii="Arial Narrow" w:eastAsia="Century Gothic" w:hAnsi="Arial Narrow" w:cs="Century Gothic"/>
          <w:sz w:val="28"/>
          <w:szCs w:val="28"/>
        </w:rPr>
        <w:t xml:space="preserve"> en el código penal, </w:t>
      </w:r>
      <w:r w:rsidR="00B62173" w:rsidRPr="00A10639">
        <w:rPr>
          <w:rFonts w:ascii="Arial Narrow" w:eastAsia="Century Gothic" w:hAnsi="Arial Narrow" w:cs="Century Gothic"/>
          <w:sz w:val="28"/>
          <w:szCs w:val="28"/>
        </w:rPr>
        <w:t xml:space="preserve">lo anterior, </w:t>
      </w:r>
      <w:r w:rsidR="00BD0F49" w:rsidRPr="00A10639">
        <w:rPr>
          <w:rFonts w:ascii="Arial Narrow" w:eastAsia="Century Gothic" w:hAnsi="Arial Narrow" w:cs="Century Gothic"/>
          <w:sz w:val="28"/>
          <w:szCs w:val="28"/>
        </w:rPr>
        <w:t>teniendo en cuenta que el bien jurídico</w:t>
      </w:r>
      <w:r w:rsidR="00B62173" w:rsidRPr="00A10639">
        <w:rPr>
          <w:rFonts w:ascii="Arial Narrow" w:eastAsia="Century Gothic" w:hAnsi="Arial Narrow" w:cs="Century Gothic"/>
          <w:sz w:val="28"/>
          <w:szCs w:val="28"/>
        </w:rPr>
        <w:t xml:space="preserve"> tutelado es el de la salud</w:t>
      </w:r>
      <w:r w:rsidR="00BD0F49" w:rsidRPr="00A10639">
        <w:rPr>
          <w:rFonts w:ascii="Arial Narrow" w:eastAsia="Century Gothic" w:hAnsi="Arial Narrow" w:cs="Century Gothic"/>
          <w:sz w:val="28"/>
          <w:szCs w:val="28"/>
        </w:rPr>
        <w:t xml:space="preserve"> pública</w:t>
      </w:r>
      <w:r w:rsidR="00B62173" w:rsidRPr="00A10639">
        <w:rPr>
          <w:rFonts w:ascii="Arial Narrow" w:eastAsia="Century Gothic" w:hAnsi="Arial Narrow" w:cs="Century Gothic"/>
          <w:sz w:val="28"/>
          <w:szCs w:val="28"/>
        </w:rPr>
        <w:t xml:space="preserve"> y, por tanto,</w:t>
      </w:r>
      <w:r w:rsidR="00BD0F49" w:rsidRPr="00A10639">
        <w:rPr>
          <w:rFonts w:ascii="Arial Narrow" w:eastAsia="Century Gothic" w:hAnsi="Arial Narrow" w:cs="Century Gothic"/>
          <w:sz w:val="28"/>
          <w:szCs w:val="28"/>
        </w:rPr>
        <w:t xml:space="preserve"> es de carácter </w:t>
      </w:r>
      <w:r w:rsidR="00BD0F49" w:rsidRPr="00A10639">
        <w:rPr>
          <w:rFonts w:ascii="Arial Narrow" w:eastAsia="Century Gothic" w:hAnsi="Arial Narrow" w:cs="Century Gothic"/>
          <w:sz w:val="28"/>
          <w:szCs w:val="28"/>
        </w:rPr>
        <w:lastRenderedPageBreak/>
        <w:t>colectivo</w:t>
      </w:r>
      <w:r w:rsidR="00B62173" w:rsidRPr="00A10639">
        <w:rPr>
          <w:rFonts w:ascii="Arial Narrow" w:eastAsia="Century Gothic" w:hAnsi="Arial Narrow" w:cs="Century Gothic"/>
          <w:sz w:val="28"/>
          <w:szCs w:val="28"/>
        </w:rPr>
        <w:t xml:space="preserve">, pero de la lectura del mismo puede deducirse que </w:t>
      </w:r>
      <w:r w:rsidR="00BD0F49" w:rsidRPr="00A10639">
        <w:rPr>
          <w:rFonts w:ascii="Arial Narrow" w:eastAsia="Century Gothic" w:hAnsi="Arial Narrow" w:cs="Century Gothic"/>
          <w:sz w:val="28"/>
          <w:szCs w:val="28"/>
        </w:rPr>
        <w:t>se esta protegiendo la integridad del deportista</w:t>
      </w:r>
      <w:r w:rsidR="00B62173" w:rsidRPr="00A10639">
        <w:rPr>
          <w:rFonts w:ascii="Arial Narrow" w:eastAsia="Century Gothic" w:hAnsi="Arial Narrow" w:cs="Century Gothic"/>
          <w:sz w:val="28"/>
          <w:szCs w:val="28"/>
        </w:rPr>
        <w:t>.</w:t>
      </w:r>
    </w:p>
    <w:p w14:paraId="300928A4" w14:textId="4E08DBCA" w:rsidR="00BD0F49" w:rsidRPr="00A10639" w:rsidRDefault="00B62173" w:rsidP="00C14292">
      <w:pPr>
        <w:spacing w:before="240" w:after="240"/>
        <w:jc w:val="both"/>
        <w:rPr>
          <w:rFonts w:ascii="Arial Narrow" w:eastAsia="Century Gothic" w:hAnsi="Arial Narrow" w:cs="Century Gothic"/>
          <w:sz w:val="28"/>
          <w:szCs w:val="28"/>
        </w:rPr>
      </w:pPr>
      <w:r w:rsidRPr="00A10639">
        <w:rPr>
          <w:rFonts w:ascii="Arial Narrow" w:eastAsia="Century Gothic" w:hAnsi="Arial Narrow" w:cs="Century Gothic"/>
          <w:sz w:val="28"/>
          <w:szCs w:val="28"/>
        </w:rPr>
        <w:t xml:space="preserve">Adicionalmente consideró </w:t>
      </w:r>
      <w:r w:rsidR="00BD0F49" w:rsidRPr="00A10639">
        <w:rPr>
          <w:rFonts w:ascii="Arial Narrow" w:eastAsia="Century Gothic" w:hAnsi="Arial Narrow" w:cs="Century Gothic"/>
          <w:sz w:val="28"/>
          <w:szCs w:val="28"/>
        </w:rPr>
        <w:t xml:space="preserve">que al referirse </w:t>
      </w:r>
      <w:r w:rsidRPr="00A10639">
        <w:rPr>
          <w:rFonts w:ascii="Arial Narrow" w:eastAsia="Century Gothic" w:hAnsi="Arial Narrow" w:cs="Century Gothic"/>
          <w:sz w:val="28"/>
          <w:szCs w:val="28"/>
        </w:rPr>
        <w:t>a</w:t>
      </w:r>
      <w:r w:rsidR="00BD0F49" w:rsidRPr="00A10639">
        <w:rPr>
          <w:rFonts w:ascii="Arial Narrow" w:eastAsia="Century Gothic" w:hAnsi="Arial Narrow" w:cs="Century Gothic"/>
          <w:sz w:val="28"/>
          <w:szCs w:val="28"/>
        </w:rPr>
        <w:t xml:space="preserve"> “sustancia o método prohibido en el deporte” o “autoridad competente” se está ante un tipo penal en blanco, en donde además es una entidad de carácter privada la que está determinando cuando se configura el delito. Adicionalmente </w:t>
      </w:r>
      <w:r w:rsidRPr="00A10639">
        <w:rPr>
          <w:rFonts w:ascii="Arial Narrow" w:eastAsia="Century Gothic" w:hAnsi="Arial Narrow" w:cs="Century Gothic"/>
          <w:sz w:val="28"/>
          <w:szCs w:val="28"/>
        </w:rPr>
        <w:t>resaltó</w:t>
      </w:r>
      <w:r w:rsidR="00BD0F49" w:rsidRPr="00A10639">
        <w:rPr>
          <w:rFonts w:ascii="Arial Narrow" w:eastAsia="Century Gothic" w:hAnsi="Arial Narrow" w:cs="Century Gothic"/>
          <w:sz w:val="28"/>
          <w:szCs w:val="28"/>
        </w:rPr>
        <w:t xml:space="preserve"> que se </w:t>
      </w:r>
      <w:r w:rsidRPr="00A10639">
        <w:rPr>
          <w:rFonts w:ascii="Arial Narrow" w:eastAsia="Century Gothic" w:hAnsi="Arial Narrow" w:cs="Century Gothic"/>
          <w:sz w:val="28"/>
          <w:szCs w:val="28"/>
        </w:rPr>
        <w:t>establecen</w:t>
      </w:r>
      <w:r w:rsidR="00BD0F49" w:rsidRPr="00A10639">
        <w:rPr>
          <w:rFonts w:ascii="Arial Narrow" w:eastAsia="Century Gothic" w:hAnsi="Arial Narrow" w:cs="Century Gothic"/>
          <w:sz w:val="28"/>
          <w:szCs w:val="28"/>
        </w:rPr>
        <w:t xml:space="preserve"> varios verbos rectores de los cuales no se tiene claridad sobre el alcance. Finalmente, indic</w:t>
      </w:r>
      <w:r w:rsidRPr="00A10639">
        <w:rPr>
          <w:rFonts w:ascii="Arial Narrow" w:eastAsia="Century Gothic" w:hAnsi="Arial Narrow" w:cs="Century Gothic"/>
          <w:sz w:val="28"/>
          <w:szCs w:val="28"/>
        </w:rPr>
        <w:t>ó</w:t>
      </w:r>
      <w:r w:rsidR="00BD0F49" w:rsidRPr="00A10639">
        <w:rPr>
          <w:rFonts w:ascii="Arial Narrow" w:eastAsia="Century Gothic" w:hAnsi="Arial Narrow" w:cs="Century Gothic"/>
          <w:sz w:val="28"/>
          <w:szCs w:val="28"/>
        </w:rPr>
        <w:t xml:space="preserve"> que si lo que se busca es garantizar una ética en el deporte el delito no debería quedar ubicado en el bien jurídico de la salud pública y menos aún </w:t>
      </w:r>
      <w:r w:rsidRPr="00A10639">
        <w:rPr>
          <w:rFonts w:ascii="Arial Narrow" w:eastAsia="Century Gothic" w:hAnsi="Arial Narrow" w:cs="Century Gothic"/>
          <w:sz w:val="28"/>
          <w:szCs w:val="28"/>
        </w:rPr>
        <w:t>debería considerarse</w:t>
      </w:r>
      <w:r w:rsidR="00BD0F49" w:rsidRPr="00A10639">
        <w:rPr>
          <w:rFonts w:ascii="Arial Narrow" w:eastAsia="Century Gothic" w:hAnsi="Arial Narrow" w:cs="Century Gothic"/>
          <w:sz w:val="28"/>
          <w:szCs w:val="28"/>
        </w:rPr>
        <w:t xml:space="preserve"> un delito.</w:t>
      </w:r>
    </w:p>
    <w:p w14:paraId="658836B3" w14:textId="5DD7CFAA" w:rsidR="00BD0F49" w:rsidRPr="00A10639" w:rsidRDefault="002D6EAE" w:rsidP="00C14292">
      <w:pPr>
        <w:spacing w:before="240" w:after="240"/>
        <w:jc w:val="both"/>
        <w:rPr>
          <w:rFonts w:ascii="Arial Narrow" w:eastAsia="Century Gothic" w:hAnsi="Arial Narrow" w:cs="Century Gothic"/>
          <w:sz w:val="28"/>
          <w:szCs w:val="28"/>
        </w:rPr>
      </w:pPr>
      <w:r w:rsidRPr="00A10639">
        <w:rPr>
          <w:rFonts w:ascii="Arial Narrow" w:eastAsia="Century Gothic" w:hAnsi="Arial Narrow" w:cs="Century Gothic"/>
          <w:sz w:val="28"/>
          <w:szCs w:val="28"/>
        </w:rPr>
        <w:t xml:space="preserve">Germán Pabón, </w:t>
      </w:r>
      <w:r w:rsidR="00B62173" w:rsidRPr="00A10639">
        <w:rPr>
          <w:rFonts w:ascii="Arial Narrow" w:eastAsia="Century Gothic" w:hAnsi="Arial Narrow" w:cs="Century Gothic"/>
          <w:sz w:val="28"/>
          <w:szCs w:val="28"/>
        </w:rPr>
        <w:t>Delegado por la Defensoría</w:t>
      </w:r>
      <w:r w:rsidR="00BD0F49" w:rsidRPr="00A10639">
        <w:rPr>
          <w:rFonts w:ascii="Arial Narrow" w:eastAsia="Century Gothic" w:hAnsi="Arial Narrow" w:cs="Century Gothic"/>
          <w:sz w:val="28"/>
          <w:szCs w:val="28"/>
        </w:rPr>
        <w:t xml:space="preserve"> del Pueblo, </w:t>
      </w:r>
      <w:r w:rsidR="00B62173" w:rsidRPr="00A10639">
        <w:rPr>
          <w:rFonts w:ascii="Arial Narrow" w:eastAsia="Century Gothic" w:hAnsi="Arial Narrow" w:cs="Century Gothic"/>
          <w:sz w:val="28"/>
          <w:szCs w:val="28"/>
        </w:rPr>
        <w:t>indicó que el</w:t>
      </w:r>
      <w:r w:rsidR="00BD0F49" w:rsidRPr="00A10639">
        <w:rPr>
          <w:rFonts w:ascii="Arial Narrow" w:eastAsia="Century Gothic" w:hAnsi="Arial Narrow" w:cs="Century Gothic"/>
          <w:sz w:val="28"/>
          <w:szCs w:val="28"/>
        </w:rPr>
        <w:t xml:space="preserve"> </w:t>
      </w:r>
      <w:r w:rsidR="00B62173" w:rsidRPr="00A10639">
        <w:rPr>
          <w:rFonts w:ascii="Arial Narrow" w:eastAsia="Century Gothic" w:hAnsi="Arial Narrow" w:cs="Century Gothic"/>
          <w:sz w:val="28"/>
          <w:szCs w:val="28"/>
        </w:rPr>
        <w:t>C</w:t>
      </w:r>
      <w:r w:rsidR="00BD0F49" w:rsidRPr="00A10639">
        <w:rPr>
          <w:rFonts w:ascii="Arial Narrow" w:eastAsia="Century Gothic" w:hAnsi="Arial Narrow" w:cs="Century Gothic"/>
          <w:sz w:val="28"/>
          <w:szCs w:val="28"/>
        </w:rPr>
        <w:t xml:space="preserve">omité de </w:t>
      </w:r>
      <w:r w:rsidR="00B62173" w:rsidRPr="00A10639">
        <w:rPr>
          <w:rFonts w:ascii="Arial Narrow" w:eastAsia="Century Gothic" w:hAnsi="Arial Narrow" w:cs="Century Gothic"/>
          <w:sz w:val="28"/>
          <w:szCs w:val="28"/>
        </w:rPr>
        <w:t>P</w:t>
      </w:r>
      <w:r w:rsidR="00BD0F49" w:rsidRPr="00A10639">
        <w:rPr>
          <w:rFonts w:ascii="Arial Narrow" w:eastAsia="Century Gothic" w:hAnsi="Arial Narrow" w:cs="Century Gothic"/>
          <w:sz w:val="28"/>
          <w:szCs w:val="28"/>
        </w:rPr>
        <w:t xml:space="preserve">olítica </w:t>
      </w:r>
      <w:r w:rsidR="00B62173" w:rsidRPr="00A10639">
        <w:rPr>
          <w:rFonts w:ascii="Arial Narrow" w:eastAsia="Century Gothic" w:hAnsi="Arial Narrow" w:cs="Century Gothic"/>
          <w:sz w:val="28"/>
          <w:szCs w:val="28"/>
        </w:rPr>
        <w:t>C</w:t>
      </w:r>
      <w:r w:rsidR="00BD0F49" w:rsidRPr="00A10639">
        <w:rPr>
          <w:rFonts w:ascii="Arial Narrow" w:eastAsia="Century Gothic" w:hAnsi="Arial Narrow" w:cs="Century Gothic"/>
          <w:sz w:val="28"/>
          <w:szCs w:val="28"/>
        </w:rPr>
        <w:t xml:space="preserve">riminal </w:t>
      </w:r>
      <w:r w:rsidR="00B62173" w:rsidRPr="00A10639">
        <w:rPr>
          <w:rFonts w:ascii="Arial Narrow" w:eastAsia="Century Gothic" w:hAnsi="Arial Narrow" w:cs="Century Gothic"/>
          <w:sz w:val="28"/>
          <w:szCs w:val="28"/>
        </w:rPr>
        <w:t xml:space="preserve">emitió </w:t>
      </w:r>
      <w:r w:rsidR="00BD0F49" w:rsidRPr="00A10639">
        <w:rPr>
          <w:rFonts w:ascii="Arial Narrow" w:eastAsia="Century Gothic" w:hAnsi="Arial Narrow" w:cs="Century Gothic"/>
          <w:sz w:val="28"/>
          <w:szCs w:val="28"/>
        </w:rPr>
        <w:t>concepto positivo</w:t>
      </w:r>
      <w:r w:rsidR="00B62173" w:rsidRPr="00A10639">
        <w:rPr>
          <w:rFonts w:ascii="Arial Narrow" w:eastAsia="Century Gothic" w:hAnsi="Arial Narrow" w:cs="Century Gothic"/>
          <w:sz w:val="28"/>
          <w:szCs w:val="28"/>
        </w:rPr>
        <w:t>, teniendo en cuenta que el delito</w:t>
      </w:r>
      <w:r w:rsidR="00BD0F49" w:rsidRPr="00A10639">
        <w:rPr>
          <w:rFonts w:ascii="Arial Narrow" w:eastAsia="Century Gothic" w:hAnsi="Arial Narrow" w:cs="Century Gothic"/>
          <w:sz w:val="28"/>
          <w:szCs w:val="28"/>
        </w:rPr>
        <w:t xml:space="preserve"> consulta la normativa internacional contra el dopaje</w:t>
      </w:r>
      <w:r w:rsidR="00B62173" w:rsidRPr="00A10639">
        <w:rPr>
          <w:rFonts w:ascii="Arial Narrow" w:eastAsia="Century Gothic" w:hAnsi="Arial Narrow" w:cs="Century Gothic"/>
          <w:sz w:val="28"/>
          <w:szCs w:val="28"/>
        </w:rPr>
        <w:t>.</w:t>
      </w:r>
      <w:r w:rsidR="00BD0F49" w:rsidRPr="00A10639">
        <w:rPr>
          <w:rFonts w:ascii="Arial Narrow" w:eastAsia="Century Gothic" w:hAnsi="Arial Narrow" w:cs="Century Gothic"/>
          <w:sz w:val="28"/>
          <w:szCs w:val="28"/>
        </w:rPr>
        <w:t xml:space="preserve"> </w:t>
      </w:r>
      <w:r w:rsidR="00B62173" w:rsidRPr="00A10639">
        <w:rPr>
          <w:rFonts w:ascii="Arial Narrow" w:eastAsia="Century Gothic" w:hAnsi="Arial Narrow" w:cs="Century Gothic"/>
          <w:sz w:val="28"/>
          <w:szCs w:val="28"/>
        </w:rPr>
        <w:t>R</w:t>
      </w:r>
      <w:r w:rsidR="00BD0F49" w:rsidRPr="00A10639">
        <w:rPr>
          <w:rFonts w:ascii="Arial Narrow" w:eastAsia="Century Gothic" w:hAnsi="Arial Narrow" w:cs="Century Gothic"/>
          <w:sz w:val="28"/>
          <w:szCs w:val="28"/>
        </w:rPr>
        <w:t xml:space="preserve">esaltó que los tipos penales en blanco tienen esos problemas de falta de precisión y atentaríamos </w:t>
      </w:r>
      <w:r w:rsidR="00B62173" w:rsidRPr="00A10639">
        <w:rPr>
          <w:rFonts w:ascii="Arial Narrow" w:eastAsia="Century Gothic" w:hAnsi="Arial Narrow" w:cs="Century Gothic"/>
          <w:sz w:val="28"/>
          <w:szCs w:val="28"/>
        </w:rPr>
        <w:t xml:space="preserve">al incorporarlo se atentaría </w:t>
      </w:r>
      <w:r w:rsidR="00BD0F49" w:rsidRPr="00A10639">
        <w:rPr>
          <w:rFonts w:ascii="Arial Narrow" w:eastAsia="Century Gothic" w:hAnsi="Arial Narrow" w:cs="Century Gothic"/>
          <w:sz w:val="28"/>
          <w:szCs w:val="28"/>
        </w:rPr>
        <w:t>contra el principio del código penal que indica que la conducta se debe describir de forma inequívoca. La sugerencia se dirigió a cerrar más la conducta para evitar equivocaciones en la aplicación.</w:t>
      </w:r>
      <w:r w:rsidRPr="00A10639">
        <w:rPr>
          <w:rFonts w:ascii="Arial Narrow" w:eastAsia="Century Gothic" w:hAnsi="Arial Narrow" w:cs="Century Gothic"/>
          <w:sz w:val="28"/>
          <w:szCs w:val="28"/>
        </w:rPr>
        <w:t xml:space="preserve"> Habl</w:t>
      </w:r>
      <w:r w:rsidR="00B62173" w:rsidRPr="00A10639">
        <w:rPr>
          <w:rFonts w:ascii="Arial Narrow" w:eastAsia="Century Gothic" w:hAnsi="Arial Narrow" w:cs="Century Gothic"/>
          <w:sz w:val="28"/>
          <w:szCs w:val="28"/>
        </w:rPr>
        <w:t>ó</w:t>
      </w:r>
      <w:r w:rsidRPr="00A10639">
        <w:rPr>
          <w:rFonts w:ascii="Arial Narrow" w:eastAsia="Century Gothic" w:hAnsi="Arial Narrow" w:cs="Century Gothic"/>
          <w:sz w:val="28"/>
          <w:szCs w:val="28"/>
        </w:rPr>
        <w:t xml:space="preserve"> de pobreza estructural del tipo penal</w:t>
      </w:r>
    </w:p>
    <w:p w14:paraId="7C93E891" w14:textId="1DF36C3C" w:rsidR="00BD0F49" w:rsidRPr="00A10639" w:rsidRDefault="00BD0F49" w:rsidP="00C14292">
      <w:pPr>
        <w:spacing w:before="240" w:after="240"/>
        <w:jc w:val="both"/>
        <w:rPr>
          <w:rFonts w:ascii="Arial Narrow" w:eastAsia="Century Gothic" w:hAnsi="Arial Narrow" w:cs="Century Gothic"/>
          <w:sz w:val="28"/>
          <w:szCs w:val="28"/>
        </w:rPr>
      </w:pPr>
      <w:r w:rsidRPr="00A10639">
        <w:rPr>
          <w:rFonts w:ascii="Arial Narrow" w:eastAsia="Century Gothic" w:hAnsi="Arial Narrow" w:cs="Century Gothic"/>
          <w:sz w:val="28"/>
          <w:szCs w:val="28"/>
        </w:rPr>
        <w:t>Eduardo de Ossa, Abogado del Ministerio del Deporte, aclaró que no se está creando un nuevo delito, sino modifica</w:t>
      </w:r>
      <w:r w:rsidR="00B62173" w:rsidRPr="00A10639">
        <w:rPr>
          <w:rFonts w:ascii="Arial Narrow" w:eastAsia="Century Gothic" w:hAnsi="Arial Narrow" w:cs="Century Gothic"/>
          <w:sz w:val="28"/>
          <w:szCs w:val="28"/>
        </w:rPr>
        <w:t>ndo el ya incorporado mediante</w:t>
      </w:r>
      <w:r w:rsidRPr="00A10639">
        <w:rPr>
          <w:rFonts w:ascii="Arial Narrow" w:eastAsia="Century Gothic" w:hAnsi="Arial Narrow" w:cs="Century Gothic"/>
          <w:sz w:val="28"/>
          <w:szCs w:val="28"/>
        </w:rPr>
        <w:t xml:space="preserve"> la ley 30 de 1986 para garantizar su aplicación</w:t>
      </w:r>
      <w:r w:rsidR="00B62173" w:rsidRPr="00A10639">
        <w:rPr>
          <w:rFonts w:ascii="Arial Narrow" w:eastAsia="Century Gothic" w:hAnsi="Arial Narrow" w:cs="Century Gothic"/>
          <w:sz w:val="28"/>
          <w:szCs w:val="28"/>
        </w:rPr>
        <w:t>.</w:t>
      </w:r>
      <w:r w:rsidRPr="00A10639">
        <w:rPr>
          <w:rFonts w:ascii="Arial Narrow" w:eastAsia="Century Gothic" w:hAnsi="Arial Narrow" w:cs="Century Gothic"/>
          <w:sz w:val="28"/>
          <w:szCs w:val="28"/>
        </w:rPr>
        <w:t xml:space="preserve"> </w:t>
      </w:r>
      <w:r w:rsidR="00B62173" w:rsidRPr="00A10639">
        <w:rPr>
          <w:rFonts w:ascii="Arial Narrow" w:eastAsia="Century Gothic" w:hAnsi="Arial Narrow" w:cs="Century Gothic"/>
          <w:sz w:val="28"/>
          <w:szCs w:val="28"/>
        </w:rPr>
        <w:t xml:space="preserve">Aclaró que </w:t>
      </w:r>
      <w:r w:rsidRPr="00A10639">
        <w:rPr>
          <w:rFonts w:ascii="Arial Narrow" w:eastAsia="Century Gothic" w:hAnsi="Arial Narrow" w:cs="Century Gothic"/>
          <w:sz w:val="28"/>
          <w:szCs w:val="28"/>
        </w:rPr>
        <w:t xml:space="preserve">en el artículo vigente se habla de sustancias que generan dependencia y lo que este proyecto busca es cambiar ese imaginario de que las sustancias dopantes generan dependencia. </w:t>
      </w:r>
    </w:p>
    <w:p w14:paraId="031455D2" w14:textId="46F707F4" w:rsidR="007E233D" w:rsidRPr="00A10639" w:rsidRDefault="00B62173" w:rsidP="00C14292">
      <w:pPr>
        <w:spacing w:before="240" w:after="240"/>
        <w:jc w:val="both"/>
        <w:rPr>
          <w:rFonts w:ascii="Arial Narrow" w:eastAsia="Century Gothic" w:hAnsi="Arial Narrow" w:cs="Century Gothic"/>
          <w:sz w:val="28"/>
          <w:szCs w:val="28"/>
        </w:rPr>
      </w:pPr>
      <w:r w:rsidRPr="00A10639">
        <w:rPr>
          <w:rFonts w:ascii="Arial Narrow" w:eastAsia="Century Gothic" w:hAnsi="Arial Narrow" w:cs="Century Gothic"/>
          <w:sz w:val="28"/>
          <w:szCs w:val="28"/>
        </w:rPr>
        <w:t>Resaltó que s</w:t>
      </w:r>
      <w:r w:rsidR="007E233D" w:rsidRPr="00A10639">
        <w:rPr>
          <w:rFonts w:ascii="Arial Narrow" w:eastAsia="Century Gothic" w:hAnsi="Arial Narrow" w:cs="Century Gothic"/>
          <w:sz w:val="28"/>
          <w:szCs w:val="28"/>
        </w:rPr>
        <w:t xml:space="preserve">e debe tener en cuenta la convención antidopaje </w:t>
      </w:r>
      <w:r w:rsidRPr="00A10639">
        <w:rPr>
          <w:rFonts w:ascii="Arial Narrow" w:eastAsia="Century Gothic" w:hAnsi="Arial Narrow" w:cs="Century Gothic"/>
          <w:sz w:val="28"/>
          <w:szCs w:val="28"/>
        </w:rPr>
        <w:t>firmada en</w:t>
      </w:r>
      <w:r w:rsidR="007E233D" w:rsidRPr="00A10639">
        <w:rPr>
          <w:rFonts w:ascii="Arial Narrow" w:eastAsia="Century Gothic" w:hAnsi="Arial Narrow" w:cs="Century Gothic"/>
          <w:sz w:val="28"/>
          <w:szCs w:val="28"/>
        </w:rPr>
        <w:t xml:space="preserve"> suiza</w:t>
      </w:r>
      <w:r w:rsidRPr="00A10639">
        <w:rPr>
          <w:rFonts w:ascii="Arial Narrow" w:eastAsia="Century Gothic" w:hAnsi="Arial Narrow" w:cs="Century Gothic"/>
          <w:sz w:val="28"/>
          <w:szCs w:val="28"/>
        </w:rPr>
        <w:t>,</w:t>
      </w:r>
      <w:r w:rsidR="007E233D" w:rsidRPr="00A10639">
        <w:rPr>
          <w:rFonts w:ascii="Arial Narrow" w:eastAsia="Century Gothic" w:hAnsi="Arial Narrow" w:cs="Century Gothic"/>
          <w:sz w:val="28"/>
          <w:szCs w:val="28"/>
        </w:rPr>
        <w:t xml:space="preserve"> que</w:t>
      </w:r>
      <w:r w:rsidRPr="00A10639">
        <w:rPr>
          <w:rFonts w:ascii="Arial Narrow" w:eastAsia="Century Gothic" w:hAnsi="Arial Narrow" w:cs="Century Gothic"/>
          <w:sz w:val="28"/>
          <w:szCs w:val="28"/>
        </w:rPr>
        <w:t xml:space="preserve"> además</w:t>
      </w:r>
      <w:r w:rsidR="007E233D" w:rsidRPr="00A10639">
        <w:rPr>
          <w:rFonts w:ascii="Arial Narrow" w:eastAsia="Century Gothic" w:hAnsi="Arial Narrow" w:cs="Century Gothic"/>
          <w:sz w:val="28"/>
          <w:szCs w:val="28"/>
        </w:rPr>
        <w:t xml:space="preserve"> fue incorporada </w:t>
      </w:r>
      <w:r w:rsidRPr="00A10639">
        <w:rPr>
          <w:rFonts w:ascii="Arial Narrow" w:eastAsia="Century Gothic" w:hAnsi="Arial Narrow" w:cs="Century Gothic"/>
          <w:sz w:val="28"/>
          <w:szCs w:val="28"/>
        </w:rPr>
        <w:t>m</w:t>
      </w:r>
      <w:r w:rsidR="007E233D" w:rsidRPr="00A10639">
        <w:rPr>
          <w:rFonts w:ascii="Arial Narrow" w:eastAsia="Century Gothic" w:hAnsi="Arial Narrow" w:cs="Century Gothic"/>
          <w:sz w:val="28"/>
          <w:szCs w:val="28"/>
        </w:rPr>
        <w:t>ediante la ley 1207 de 2008</w:t>
      </w:r>
      <w:r w:rsidRPr="00A10639">
        <w:rPr>
          <w:rFonts w:ascii="Arial Narrow" w:eastAsia="Century Gothic" w:hAnsi="Arial Narrow" w:cs="Century Gothic"/>
          <w:sz w:val="28"/>
          <w:szCs w:val="28"/>
        </w:rPr>
        <w:t>, a partir de la primera</w:t>
      </w:r>
      <w:r w:rsidR="007E233D" w:rsidRPr="00A10639">
        <w:rPr>
          <w:rFonts w:ascii="Arial Narrow" w:eastAsia="Century Gothic" w:hAnsi="Arial Narrow" w:cs="Century Gothic"/>
          <w:sz w:val="28"/>
          <w:szCs w:val="28"/>
        </w:rPr>
        <w:t xml:space="preserve"> nació la </w:t>
      </w:r>
      <w:r w:rsidRPr="00A10639">
        <w:rPr>
          <w:rFonts w:ascii="Arial Narrow" w:eastAsia="Century Gothic" w:hAnsi="Arial Narrow" w:cs="Century Gothic"/>
          <w:sz w:val="28"/>
          <w:szCs w:val="28"/>
        </w:rPr>
        <w:t>A</w:t>
      </w:r>
      <w:r w:rsidR="007E233D" w:rsidRPr="00A10639">
        <w:rPr>
          <w:rFonts w:ascii="Arial Narrow" w:eastAsia="Century Gothic" w:hAnsi="Arial Narrow" w:cs="Century Gothic"/>
          <w:sz w:val="28"/>
          <w:szCs w:val="28"/>
        </w:rPr>
        <w:t xml:space="preserve">gencia </w:t>
      </w:r>
      <w:r w:rsidRPr="00A10639">
        <w:rPr>
          <w:rFonts w:ascii="Arial Narrow" w:eastAsia="Century Gothic" w:hAnsi="Arial Narrow" w:cs="Century Gothic"/>
          <w:sz w:val="28"/>
          <w:szCs w:val="28"/>
        </w:rPr>
        <w:t>N</w:t>
      </w:r>
      <w:r w:rsidR="007E233D" w:rsidRPr="00A10639">
        <w:rPr>
          <w:rFonts w:ascii="Arial Narrow" w:eastAsia="Century Gothic" w:hAnsi="Arial Narrow" w:cs="Century Gothic"/>
          <w:sz w:val="28"/>
          <w:szCs w:val="28"/>
        </w:rPr>
        <w:t xml:space="preserve">acional </w:t>
      </w:r>
      <w:r w:rsidRPr="00A10639">
        <w:rPr>
          <w:rFonts w:ascii="Arial Narrow" w:eastAsia="Century Gothic" w:hAnsi="Arial Narrow" w:cs="Century Gothic"/>
          <w:sz w:val="28"/>
          <w:szCs w:val="28"/>
        </w:rPr>
        <w:t>A</w:t>
      </w:r>
      <w:r w:rsidR="007E233D" w:rsidRPr="00A10639">
        <w:rPr>
          <w:rFonts w:ascii="Arial Narrow" w:eastAsia="Century Gothic" w:hAnsi="Arial Narrow" w:cs="Century Gothic"/>
          <w:sz w:val="28"/>
          <w:szCs w:val="28"/>
        </w:rPr>
        <w:t>ntidopaje</w:t>
      </w:r>
      <w:r w:rsidRPr="00A10639">
        <w:rPr>
          <w:rFonts w:ascii="Arial Narrow" w:eastAsia="Century Gothic" w:hAnsi="Arial Narrow" w:cs="Century Gothic"/>
          <w:sz w:val="28"/>
          <w:szCs w:val="28"/>
        </w:rPr>
        <w:t>,</w:t>
      </w:r>
      <w:r w:rsidR="007E233D" w:rsidRPr="00A10639">
        <w:rPr>
          <w:rFonts w:ascii="Arial Narrow" w:eastAsia="Century Gothic" w:hAnsi="Arial Narrow" w:cs="Century Gothic"/>
          <w:sz w:val="28"/>
          <w:szCs w:val="28"/>
        </w:rPr>
        <w:t xml:space="preserve"> como acuerdo entre el </w:t>
      </w:r>
      <w:r w:rsidRPr="00A10639">
        <w:rPr>
          <w:rFonts w:ascii="Arial Narrow" w:eastAsia="Century Gothic" w:hAnsi="Arial Narrow" w:cs="Century Gothic"/>
          <w:sz w:val="28"/>
          <w:szCs w:val="28"/>
        </w:rPr>
        <w:t>M</w:t>
      </w:r>
      <w:r w:rsidR="007E233D" w:rsidRPr="00A10639">
        <w:rPr>
          <w:rFonts w:ascii="Arial Narrow" w:eastAsia="Century Gothic" w:hAnsi="Arial Narrow" w:cs="Century Gothic"/>
          <w:sz w:val="28"/>
          <w:szCs w:val="28"/>
        </w:rPr>
        <w:t xml:space="preserve">ovimiento </w:t>
      </w:r>
      <w:r w:rsidRPr="00A10639">
        <w:rPr>
          <w:rFonts w:ascii="Arial Narrow" w:eastAsia="Century Gothic" w:hAnsi="Arial Narrow" w:cs="Century Gothic"/>
          <w:sz w:val="28"/>
          <w:szCs w:val="28"/>
        </w:rPr>
        <w:t>O</w:t>
      </w:r>
      <w:r w:rsidR="007E233D" w:rsidRPr="00A10639">
        <w:rPr>
          <w:rFonts w:ascii="Arial Narrow" w:eastAsia="Century Gothic" w:hAnsi="Arial Narrow" w:cs="Century Gothic"/>
          <w:sz w:val="28"/>
          <w:szCs w:val="28"/>
        </w:rPr>
        <w:t xml:space="preserve">límpico y los </w:t>
      </w:r>
      <w:r w:rsidRPr="00A10639">
        <w:rPr>
          <w:rFonts w:ascii="Arial Narrow" w:eastAsia="Century Gothic" w:hAnsi="Arial Narrow" w:cs="Century Gothic"/>
          <w:sz w:val="28"/>
          <w:szCs w:val="28"/>
        </w:rPr>
        <w:t>G</w:t>
      </w:r>
      <w:r w:rsidR="007E233D" w:rsidRPr="00A10639">
        <w:rPr>
          <w:rFonts w:ascii="Arial Narrow" w:eastAsia="Century Gothic" w:hAnsi="Arial Narrow" w:cs="Century Gothic"/>
          <w:sz w:val="28"/>
          <w:szCs w:val="28"/>
        </w:rPr>
        <w:t>obierno</w:t>
      </w:r>
      <w:r w:rsidRPr="00A10639">
        <w:rPr>
          <w:rFonts w:ascii="Arial Narrow" w:eastAsia="Century Gothic" w:hAnsi="Arial Narrow" w:cs="Century Gothic"/>
          <w:sz w:val="28"/>
          <w:szCs w:val="28"/>
        </w:rPr>
        <w:t>s, de esta se desprende el desarrollo de las</w:t>
      </w:r>
      <w:r w:rsidR="007E233D" w:rsidRPr="00A10639">
        <w:rPr>
          <w:rFonts w:ascii="Arial Narrow" w:eastAsia="Century Gothic" w:hAnsi="Arial Narrow" w:cs="Century Gothic"/>
          <w:sz w:val="28"/>
          <w:szCs w:val="28"/>
        </w:rPr>
        <w:t xml:space="preserve"> </w:t>
      </w:r>
      <w:r w:rsidRPr="00A10639">
        <w:rPr>
          <w:rFonts w:ascii="Arial Narrow" w:eastAsia="Century Gothic" w:hAnsi="Arial Narrow" w:cs="Century Gothic"/>
          <w:sz w:val="28"/>
          <w:szCs w:val="28"/>
        </w:rPr>
        <w:t>O</w:t>
      </w:r>
      <w:r w:rsidR="007E233D" w:rsidRPr="00A10639">
        <w:rPr>
          <w:rFonts w:ascii="Arial Narrow" w:eastAsia="Century Gothic" w:hAnsi="Arial Narrow" w:cs="Century Gothic"/>
          <w:sz w:val="28"/>
          <w:szCs w:val="28"/>
        </w:rPr>
        <w:t xml:space="preserve">rganizaciones </w:t>
      </w:r>
      <w:r w:rsidRPr="00A10639">
        <w:rPr>
          <w:rFonts w:ascii="Arial Narrow" w:eastAsia="Century Gothic" w:hAnsi="Arial Narrow" w:cs="Century Gothic"/>
          <w:sz w:val="28"/>
          <w:szCs w:val="28"/>
        </w:rPr>
        <w:t>A</w:t>
      </w:r>
      <w:r w:rsidR="007E233D" w:rsidRPr="00A10639">
        <w:rPr>
          <w:rFonts w:ascii="Arial Narrow" w:eastAsia="Century Gothic" w:hAnsi="Arial Narrow" w:cs="Century Gothic"/>
          <w:sz w:val="28"/>
          <w:szCs w:val="28"/>
        </w:rPr>
        <w:t>ntidopaje</w:t>
      </w:r>
      <w:r w:rsidRPr="00A10639">
        <w:rPr>
          <w:rFonts w:ascii="Arial Narrow" w:eastAsia="Century Gothic" w:hAnsi="Arial Narrow" w:cs="Century Gothic"/>
          <w:sz w:val="28"/>
          <w:szCs w:val="28"/>
        </w:rPr>
        <w:t>. En relación con lo anterior, resaltó que precisamente</w:t>
      </w:r>
      <w:r w:rsidR="007E233D" w:rsidRPr="00A10639">
        <w:rPr>
          <w:rFonts w:ascii="Arial Narrow" w:eastAsia="Century Gothic" w:hAnsi="Arial Narrow" w:cs="Century Gothic"/>
          <w:sz w:val="28"/>
          <w:szCs w:val="28"/>
        </w:rPr>
        <w:t xml:space="preserve"> en esta normatividad se establecen las sustancias que afectan de manera importante el desempeño de los deportistas y por tanto, es correcta su ubicación en los delitos contra la salud pública. </w:t>
      </w:r>
      <w:r w:rsidR="00A10639" w:rsidRPr="00A10639">
        <w:rPr>
          <w:rFonts w:ascii="Arial Narrow" w:eastAsia="Century Gothic" w:hAnsi="Arial Narrow" w:cs="Century Gothic"/>
          <w:sz w:val="28"/>
          <w:szCs w:val="28"/>
        </w:rPr>
        <w:t>Explicó que existen las sustancias se clasifican en: P</w:t>
      </w:r>
      <w:r w:rsidR="007E233D" w:rsidRPr="00A10639">
        <w:rPr>
          <w:rFonts w:ascii="Arial Narrow" w:eastAsia="Century Gothic" w:hAnsi="Arial Narrow" w:cs="Century Gothic"/>
          <w:sz w:val="28"/>
          <w:szCs w:val="28"/>
        </w:rPr>
        <w:t xml:space="preserve">rohibidas siempre, </w:t>
      </w:r>
      <w:r w:rsidR="00A10639" w:rsidRPr="00A10639">
        <w:rPr>
          <w:rFonts w:ascii="Arial Narrow" w:eastAsia="Century Gothic" w:hAnsi="Arial Narrow" w:cs="Century Gothic"/>
          <w:sz w:val="28"/>
          <w:szCs w:val="28"/>
        </w:rPr>
        <w:t>Prohibidas</w:t>
      </w:r>
      <w:r w:rsidR="007E233D" w:rsidRPr="00A10639">
        <w:rPr>
          <w:rFonts w:ascii="Arial Narrow" w:eastAsia="Century Gothic" w:hAnsi="Arial Narrow" w:cs="Century Gothic"/>
          <w:sz w:val="28"/>
          <w:szCs w:val="28"/>
        </w:rPr>
        <w:t xml:space="preserve"> en </w:t>
      </w:r>
      <w:r w:rsidR="00A10639" w:rsidRPr="00A10639">
        <w:rPr>
          <w:rFonts w:ascii="Arial Narrow" w:eastAsia="Century Gothic" w:hAnsi="Arial Narrow" w:cs="Century Gothic"/>
          <w:sz w:val="28"/>
          <w:szCs w:val="28"/>
        </w:rPr>
        <w:t>C</w:t>
      </w:r>
      <w:r w:rsidR="007E233D" w:rsidRPr="00A10639">
        <w:rPr>
          <w:rFonts w:ascii="Arial Narrow" w:eastAsia="Century Gothic" w:hAnsi="Arial Narrow" w:cs="Century Gothic"/>
          <w:sz w:val="28"/>
          <w:szCs w:val="28"/>
        </w:rPr>
        <w:t xml:space="preserve">ompetición y </w:t>
      </w:r>
      <w:r w:rsidR="00A10639" w:rsidRPr="00A10639">
        <w:rPr>
          <w:rFonts w:ascii="Arial Narrow" w:eastAsia="Century Gothic" w:hAnsi="Arial Narrow" w:cs="Century Gothic"/>
          <w:sz w:val="28"/>
          <w:szCs w:val="28"/>
        </w:rPr>
        <w:t xml:space="preserve">Prohibidas </w:t>
      </w:r>
      <w:r w:rsidR="007E233D" w:rsidRPr="00A10639">
        <w:rPr>
          <w:rFonts w:ascii="Arial Narrow" w:eastAsia="Century Gothic" w:hAnsi="Arial Narrow" w:cs="Century Gothic"/>
          <w:sz w:val="28"/>
          <w:szCs w:val="28"/>
        </w:rPr>
        <w:t>en determinados deportes</w:t>
      </w:r>
      <w:r w:rsidR="00A10639" w:rsidRPr="00A10639">
        <w:rPr>
          <w:rFonts w:ascii="Arial Narrow" w:eastAsia="Century Gothic" w:hAnsi="Arial Narrow" w:cs="Century Gothic"/>
          <w:sz w:val="28"/>
          <w:szCs w:val="28"/>
        </w:rPr>
        <w:t xml:space="preserve"> y que las mismas se organizan en </w:t>
      </w:r>
      <w:r w:rsidR="007E233D" w:rsidRPr="00A10639">
        <w:rPr>
          <w:rFonts w:ascii="Arial Narrow" w:eastAsia="Century Gothic" w:hAnsi="Arial Narrow" w:cs="Century Gothic"/>
          <w:sz w:val="28"/>
          <w:szCs w:val="28"/>
        </w:rPr>
        <w:t xml:space="preserve">9 grupos de </w:t>
      </w:r>
      <w:r w:rsidR="007E233D" w:rsidRPr="00A10639">
        <w:rPr>
          <w:rFonts w:ascii="Arial Narrow" w:eastAsia="Century Gothic" w:hAnsi="Arial Narrow" w:cs="Century Gothic"/>
          <w:sz w:val="28"/>
          <w:szCs w:val="28"/>
        </w:rPr>
        <w:lastRenderedPageBreak/>
        <w:t xml:space="preserve">sustancias y 3 </w:t>
      </w:r>
      <w:r w:rsidR="00A10639" w:rsidRPr="00A10639">
        <w:rPr>
          <w:rFonts w:ascii="Arial Narrow" w:eastAsia="Century Gothic" w:hAnsi="Arial Narrow" w:cs="Century Gothic"/>
          <w:sz w:val="28"/>
          <w:szCs w:val="28"/>
        </w:rPr>
        <w:t>métodos</w:t>
      </w:r>
      <w:r w:rsidR="007E233D" w:rsidRPr="00A10639">
        <w:rPr>
          <w:rFonts w:ascii="Arial Narrow" w:eastAsia="Century Gothic" w:hAnsi="Arial Narrow" w:cs="Century Gothic"/>
          <w:sz w:val="28"/>
          <w:szCs w:val="28"/>
        </w:rPr>
        <w:t xml:space="preserve"> prohibidos. </w:t>
      </w:r>
      <w:r w:rsidR="00A10639" w:rsidRPr="00A10639">
        <w:rPr>
          <w:rFonts w:ascii="Arial Narrow" w:eastAsia="Century Gothic" w:hAnsi="Arial Narrow" w:cs="Century Gothic"/>
          <w:sz w:val="28"/>
          <w:szCs w:val="28"/>
        </w:rPr>
        <w:t>En ese entendido, l</w:t>
      </w:r>
      <w:r w:rsidR="007E233D" w:rsidRPr="00A10639">
        <w:rPr>
          <w:rFonts w:ascii="Arial Narrow" w:eastAsia="Century Gothic" w:hAnsi="Arial Narrow" w:cs="Century Gothic"/>
          <w:sz w:val="28"/>
          <w:szCs w:val="28"/>
        </w:rPr>
        <w:t>a lista de sustancias prohibidas que nosotros como firmantes aceptamos varia cada</w:t>
      </w:r>
      <w:r w:rsidR="00A10639" w:rsidRPr="00A10639">
        <w:rPr>
          <w:rFonts w:ascii="Arial Narrow" w:eastAsia="Century Gothic" w:hAnsi="Arial Narrow" w:cs="Century Gothic"/>
          <w:sz w:val="28"/>
          <w:szCs w:val="28"/>
        </w:rPr>
        <w:t xml:space="preserve"> año </w:t>
      </w:r>
      <w:r w:rsidR="007E233D" w:rsidRPr="00A10639">
        <w:rPr>
          <w:rFonts w:ascii="Arial Narrow" w:eastAsia="Century Gothic" w:hAnsi="Arial Narrow" w:cs="Century Gothic"/>
          <w:sz w:val="28"/>
          <w:szCs w:val="28"/>
        </w:rPr>
        <w:t xml:space="preserve">dependiendo de la </w:t>
      </w:r>
      <w:r w:rsidR="00A10639" w:rsidRPr="00A10639">
        <w:rPr>
          <w:rFonts w:ascii="Arial Narrow" w:eastAsia="Century Gothic" w:hAnsi="Arial Narrow" w:cs="Century Gothic"/>
          <w:sz w:val="28"/>
          <w:szCs w:val="28"/>
        </w:rPr>
        <w:t>O</w:t>
      </w:r>
      <w:r w:rsidR="007E233D" w:rsidRPr="00A10639">
        <w:rPr>
          <w:rFonts w:ascii="Arial Narrow" w:eastAsia="Century Gothic" w:hAnsi="Arial Narrow" w:cs="Century Gothic"/>
          <w:sz w:val="28"/>
          <w:szCs w:val="28"/>
        </w:rPr>
        <w:t xml:space="preserve">rganización </w:t>
      </w:r>
      <w:r w:rsidR="00A10639" w:rsidRPr="00A10639">
        <w:rPr>
          <w:rFonts w:ascii="Arial Narrow" w:eastAsia="Century Gothic" w:hAnsi="Arial Narrow" w:cs="Century Gothic"/>
          <w:sz w:val="28"/>
          <w:szCs w:val="28"/>
        </w:rPr>
        <w:t>M</w:t>
      </w:r>
      <w:r w:rsidR="007E233D" w:rsidRPr="00A10639">
        <w:rPr>
          <w:rFonts w:ascii="Arial Narrow" w:eastAsia="Century Gothic" w:hAnsi="Arial Narrow" w:cs="Century Gothic"/>
          <w:sz w:val="28"/>
          <w:szCs w:val="28"/>
        </w:rPr>
        <w:t xml:space="preserve">undial de la </w:t>
      </w:r>
      <w:r w:rsidR="00A10639" w:rsidRPr="00A10639">
        <w:rPr>
          <w:rFonts w:ascii="Arial Narrow" w:eastAsia="Century Gothic" w:hAnsi="Arial Narrow" w:cs="Century Gothic"/>
          <w:sz w:val="28"/>
          <w:szCs w:val="28"/>
        </w:rPr>
        <w:t>S</w:t>
      </w:r>
      <w:r w:rsidR="007E233D" w:rsidRPr="00A10639">
        <w:rPr>
          <w:rFonts w:ascii="Arial Narrow" w:eastAsia="Century Gothic" w:hAnsi="Arial Narrow" w:cs="Century Gothic"/>
          <w:sz w:val="28"/>
          <w:szCs w:val="28"/>
        </w:rPr>
        <w:t>alud.</w:t>
      </w:r>
    </w:p>
    <w:p w14:paraId="28786103" w14:textId="0310F419" w:rsidR="00F63970" w:rsidRPr="00A10639" w:rsidRDefault="00A10639" w:rsidP="00C14292">
      <w:pPr>
        <w:spacing w:before="240" w:after="240"/>
        <w:jc w:val="both"/>
        <w:rPr>
          <w:rFonts w:ascii="Arial Narrow" w:eastAsia="Century Gothic" w:hAnsi="Arial Narrow" w:cs="Century Gothic"/>
          <w:sz w:val="28"/>
          <w:szCs w:val="28"/>
        </w:rPr>
      </w:pPr>
      <w:r w:rsidRPr="00A10639">
        <w:rPr>
          <w:rFonts w:ascii="Arial Narrow" w:eastAsia="Century Gothic" w:hAnsi="Arial Narrow" w:cs="Century Gothic"/>
          <w:sz w:val="28"/>
          <w:szCs w:val="28"/>
        </w:rPr>
        <w:t>Nicolás</w:t>
      </w:r>
      <w:r w:rsidR="00F63970" w:rsidRPr="00A10639">
        <w:rPr>
          <w:rFonts w:ascii="Arial Narrow" w:eastAsia="Century Gothic" w:hAnsi="Arial Narrow" w:cs="Century Gothic"/>
          <w:sz w:val="28"/>
          <w:szCs w:val="28"/>
        </w:rPr>
        <w:t xml:space="preserve"> Murguedito, </w:t>
      </w:r>
      <w:r w:rsidRPr="00A10639">
        <w:rPr>
          <w:rFonts w:ascii="Arial Narrow" w:eastAsia="Century Gothic" w:hAnsi="Arial Narrow" w:cs="Century Gothic"/>
          <w:sz w:val="28"/>
          <w:szCs w:val="28"/>
        </w:rPr>
        <w:t xml:space="preserve">en representación del </w:t>
      </w:r>
      <w:r w:rsidR="00F63970" w:rsidRPr="00A10639">
        <w:rPr>
          <w:rFonts w:ascii="Arial Narrow" w:eastAsia="Century Gothic" w:hAnsi="Arial Narrow" w:cs="Century Gothic"/>
          <w:sz w:val="28"/>
          <w:szCs w:val="28"/>
        </w:rPr>
        <w:t>Ministerio de Justicia expuso que está completamente de acuerdo con lo que e</w:t>
      </w:r>
      <w:r w:rsidRPr="00A10639">
        <w:rPr>
          <w:rFonts w:ascii="Arial Narrow" w:eastAsia="Century Gothic" w:hAnsi="Arial Narrow" w:cs="Century Gothic"/>
          <w:sz w:val="28"/>
          <w:szCs w:val="28"/>
        </w:rPr>
        <w:t>xplicado por el delegado</w:t>
      </w:r>
      <w:r w:rsidR="00F63970" w:rsidRPr="00A10639">
        <w:rPr>
          <w:rFonts w:ascii="Arial Narrow" w:eastAsia="Century Gothic" w:hAnsi="Arial Narrow" w:cs="Century Gothic"/>
          <w:sz w:val="28"/>
          <w:szCs w:val="28"/>
        </w:rPr>
        <w:t xml:space="preserve"> </w:t>
      </w:r>
      <w:r w:rsidRPr="00A10639">
        <w:rPr>
          <w:rFonts w:ascii="Arial Narrow" w:eastAsia="Century Gothic" w:hAnsi="Arial Narrow" w:cs="Century Gothic"/>
          <w:sz w:val="28"/>
          <w:szCs w:val="28"/>
        </w:rPr>
        <w:t>d</w:t>
      </w:r>
      <w:r w:rsidR="00F63970" w:rsidRPr="00A10639">
        <w:rPr>
          <w:rFonts w:ascii="Arial Narrow" w:eastAsia="Century Gothic" w:hAnsi="Arial Narrow" w:cs="Century Gothic"/>
          <w:sz w:val="28"/>
          <w:szCs w:val="28"/>
        </w:rPr>
        <w:t>el ministerio del deporte, y que el</w:t>
      </w:r>
      <w:r w:rsidRPr="00A10639">
        <w:rPr>
          <w:rFonts w:ascii="Arial Narrow" w:eastAsia="Century Gothic" w:hAnsi="Arial Narrow" w:cs="Century Gothic"/>
          <w:sz w:val="28"/>
          <w:szCs w:val="28"/>
        </w:rPr>
        <w:t xml:space="preserve"> proyecto tuvo concepto favorable del</w:t>
      </w:r>
      <w:r w:rsidR="00F63970" w:rsidRPr="00A10639">
        <w:rPr>
          <w:rFonts w:ascii="Arial Narrow" w:eastAsia="Century Gothic" w:hAnsi="Arial Narrow" w:cs="Century Gothic"/>
          <w:sz w:val="28"/>
          <w:szCs w:val="28"/>
        </w:rPr>
        <w:t xml:space="preserve"> </w:t>
      </w:r>
      <w:r w:rsidRPr="00A10639">
        <w:rPr>
          <w:rFonts w:ascii="Arial Narrow" w:eastAsia="Century Gothic" w:hAnsi="Arial Narrow" w:cs="Century Gothic"/>
          <w:sz w:val="28"/>
          <w:szCs w:val="28"/>
        </w:rPr>
        <w:t>C</w:t>
      </w:r>
      <w:r w:rsidR="00F63970" w:rsidRPr="00A10639">
        <w:rPr>
          <w:rFonts w:ascii="Arial Narrow" w:eastAsia="Century Gothic" w:hAnsi="Arial Narrow" w:cs="Century Gothic"/>
          <w:sz w:val="28"/>
          <w:szCs w:val="28"/>
        </w:rPr>
        <w:t xml:space="preserve">omité </w:t>
      </w:r>
      <w:r w:rsidRPr="00A10639">
        <w:rPr>
          <w:rFonts w:ascii="Arial Narrow" w:eastAsia="Century Gothic" w:hAnsi="Arial Narrow" w:cs="Century Gothic"/>
          <w:sz w:val="28"/>
          <w:szCs w:val="28"/>
        </w:rPr>
        <w:t>T</w:t>
      </w:r>
      <w:r w:rsidR="00F63970" w:rsidRPr="00A10639">
        <w:rPr>
          <w:rFonts w:ascii="Arial Narrow" w:eastAsia="Century Gothic" w:hAnsi="Arial Narrow" w:cs="Century Gothic"/>
          <w:sz w:val="28"/>
          <w:szCs w:val="28"/>
        </w:rPr>
        <w:t xml:space="preserve">écnico de </w:t>
      </w:r>
      <w:r w:rsidRPr="00A10639">
        <w:rPr>
          <w:rFonts w:ascii="Arial Narrow" w:eastAsia="Century Gothic" w:hAnsi="Arial Narrow" w:cs="Century Gothic"/>
          <w:sz w:val="28"/>
          <w:szCs w:val="28"/>
        </w:rPr>
        <w:t>P</w:t>
      </w:r>
      <w:r w:rsidR="00F63970" w:rsidRPr="00A10639">
        <w:rPr>
          <w:rFonts w:ascii="Arial Narrow" w:eastAsia="Century Gothic" w:hAnsi="Arial Narrow" w:cs="Century Gothic"/>
          <w:sz w:val="28"/>
          <w:szCs w:val="28"/>
        </w:rPr>
        <w:t xml:space="preserve">olítico </w:t>
      </w:r>
      <w:r w:rsidRPr="00A10639">
        <w:rPr>
          <w:rFonts w:ascii="Arial Narrow" w:eastAsia="Century Gothic" w:hAnsi="Arial Narrow" w:cs="Century Gothic"/>
          <w:sz w:val="28"/>
          <w:szCs w:val="28"/>
        </w:rPr>
        <w:t>C</w:t>
      </w:r>
      <w:r w:rsidR="00F63970" w:rsidRPr="00A10639">
        <w:rPr>
          <w:rFonts w:ascii="Arial Narrow" w:eastAsia="Century Gothic" w:hAnsi="Arial Narrow" w:cs="Century Gothic"/>
          <w:sz w:val="28"/>
          <w:szCs w:val="28"/>
        </w:rPr>
        <w:t xml:space="preserve">riminal y el </w:t>
      </w:r>
      <w:r w:rsidRPr="00A10639">
        <w:rPr>
          <w:rFonts w:ascii="Arial Narrow" w:eastAsia="Century Gothic" w:hAnsi="Arial Narrow" w:cs="Century Gothic"/>
          <w:sz w:val="28"/>
          <w:szCs w:val="28"/>
        </w:rPr>
        <w:t>C</w:t>
      </w:r>
      <w:r w:rsidR="00F63970" w:rsidRPr="00A10639">
        <w:rPr>
          <w:rFonts w:ascii="Arial Narrow" w:eastAsia="Century Gothic" w:hAnsi="Arial Narrow" w:cs="Century Gothic"/>
          <w:sz w:val="28"/>
          <w:szCs w:val="28"/>
        </w:rPr>
        <w:t>onsejo</w:t>
      </w:r>
      <w:r w:rsidRPr="00A10639">
        <w:rPr>
          <w:rFonts w:ascii="Arial Narrow" w:eastAsia="Century Gothic" w:hAnsi="Arial Narrow" w:cs="Century Gothic"/>
          <w:sz w:val="28"/>
          <w:szCs w:val="28"/>
        </w:rPr>
        <w:t xml:space="preserve"> Superior de Política Criminal</w:t>
      </w:r>
      <w:r w:rsidR="00F63970" w:rsidRPr="00A10639">
        <w:rPr>
          <w:rFonts w:ascii="Arial Narrow" w:eastAsia="Century Gothic" w:hAnsi="Arial Narrow" w:cs="Century Gothic"/>
          <w:sz w:val="28"/>
          <w:szCs w:val="28"/>
        </w:rPr>
        <w:t xml:space="preserve">, </w:t>
      </w:r>
      <w:r w:rsidRPr="00A10639">
        <w:rPr>
          <w:rFonts w:ascii="Arial Narrow" w:eastAsia="Century Gothic" w:hAnsi="Arial Narrow" w:cs="Century Gothic"/>
          <w:sz w:val="28"/>
          <w:szCs w:val="28"/>
        </w:rPr>
        <w:t>así</w:t>
      </w:r>
      <w:r w:rsidR="00F63970" w:rsidRPr="00A10639">
        <w:rPr>
          <w:rFonts w:ascii="Arial Narrow" w:eastAsia="Century Gothic" w:hAnsi="Arial Narrow" w:cs="Century Gothic"/>
          <w:sz w:val="28"/>
          <w:szCs w:val="28"/>
        </w:rPr>
        <w:t xml:space="preserve"> como de la presidencia de la república.</w:t>
      </w:r>
    </w:p>
    <w:p w14:paraId="4A73D451" w14:textId="214C128F" w:rsidR="00F63970" w:rsidRPr="00D01E92" w:rsidRDefault="00A10639" w:rsidP="00C14292">
      <w:pPr>
        <w:spacing w:before="240" w:after="240"/>
        <w:jc w:val="both"/>
        <w:rPr>
          <w:rFonts w:ascii="Arial Narrow" w:eastAsia="Century Gothic" w:hAnsi="Arial Narrow" w:cs="Century Gothic"/>
          <w:sz w:val="28"/>
          <w:szCs w:val="28"/>
        </w:rPr>
      </w:pPr>
      <w:r w:rsidRPr="00A10639">
        <w:rPr>
          <w:rFonts w:ascii="Arial Narrow" w:eastAsia="Century Gothic" w:hAnsi="Arial Narrow" w:cs="Century Gothic"/>
          <w:sz w:val="28"/>
          <w:szCs w:val="28"/>
        </w:rPr>
        <w:t>Mónica</w:t>
      </w:r>
      <w:r w:rsidR="00F63970" w:rsidRPr="00A10639">
        <w:rPr>
          <w:rFonts w:ascii="Arial Narrow" w:eastAsia="Century Gothic" w:hAnsi="Arial Narrow" w:cs="Century Gothic"/>
          <w:sz w:val="28"/>
          <w:szCs w:val="28"/>
        </w:rPr>
        <w:t xml:space="preserve"> Sánchez delegada de la procuraduría, referenció que encuentra ajustada la modificación al artículo 380 del Código Penal, </w:t>
      </w:r>
      <w:r w:rsidRPr="00A10639">
        <w:rPr>
          <w:rFonts w:ascii="Arial Narrow" w:eastAsia="Century Gothic" w:hAnsi="Arial Narrow" w:cs="Century Gothic"/>
          <w:sz w:val="28"/>
          <w:szCs w:val="28"/>
        </w:rPr>
        <w:t xml:space="preserve">porque </w:t>
      </w:r>
      <w:r w:rsidR="00F63970" w:rsidRPr="00A10639">
        <w:rPr>
          <w:rFonts w:ascii="Arial Narrow" w:eastAsia="Century Gothic" w:hAnsi="Arial Narrow" w:cs="Century Gothic"/>
          <w:sz w:val="28"/>
          <w:szCs w:val="28"/>
        </w:rPr>
        <w:t xml:space="preserve">ciertamente el artículo es precario en justificar </w:t>
      </w:r>
      <w:r w:rsidRPr="00A10639">
        <w:rPr>
          <w:rFonts w:ascii="Arial Narrow" w:eastAsia="Century Gothic" w:hAnsi="Arial Narrow" w:cs="Century Gothic"/>
          <w:sz w:val="28"/>
          <w:szCs w:val="28"/>
        </w:rPr>
        <w:t>que</w:t>
      </w:r>
      <w:r w:rsidR="00F63970" w:rsidRPr="00A10639">
        <w:rPr>
          <w:rFonts w:ascii="Arial Narrow" w:eastAsia="Century Gothic" w:hAnsi="Arial Narrow" w:cs="Century Gothic"/>
          <w:sz w:val="28"/>
          <w:szCs w:val="28"/>
        </w:rPr>
        <w:t xml:space="preserve"> sustancias que afectan la </w:t>
      </w:r>
      <w:r w:rsidRPr="00A10639">
        <w:rPr>
          <w:rFonts w:ascii="Arial Narrow" w:eastAsia="Century Gothic" w:hAnsi="Arial Narrow" w:cs="Century Gothic"/>
          <w:sz w:val="28"/>
          <w:szCs w:val="28"/>
        </w:rPr>
        <w:t>salud,</w:t>
      </w:r>
      <w:r w:rsidR="00F63970" w:rsidRPr="00A10639">
        <w:rPr>
          <w:rFonts w:ascii="Arial Narrow" w:eastAsia="Century Gothic" w:hAnsi="Arial Narrow" w:cs="Century Gothic"/>
          <w:sz w:val="28"/>
          <w:szCs w:val="28"/>
        </w:rPr>
        <w:t xml:space="preserve"> pero no generan dependencia. </w:t>
      </w:r>
      <w:r w:rsidRPr="00A10639">
        <w:rPr>
          <w:rFonts w:ascii="Arial Narrow" w:eastAsia="Century Gothic" w:hAnsi="Arial Narrow" w:cs="Century Gothic"/>
          <w:sz w:val="28"/>
          <w:szCs w:val="28"/>
        </w:rPr>
        <w:t>Enfatizó en que a</w:t>
      </w:r>
      <w:r w:rsidR="00F63970" w:rsidRPr="00A10639">
        <w:rPr>
          <w:rFonts w:ascii="Arial Narrow" w:eastAsia="Century Gothic" w:hAnsi="Arial Narrow" w:cs="Century Gothic"/>
          <w:sz w:val="28"/>
          <w:szCs w:val="28"/>
        </w:rPr>
        <w:t xml:space="preserve">ún cuando se trata de un tipo penal abierto remite a un cuerpo con estatus normativo. Considera que es un tipo penal </w:t>
      </w:r>
      <w:r w:rsidRPr="00A10639">
        <w:rPr>
          <w:rFonts w:ascii="Arial Narrow" w:eastAsia="Century Gothic" w:hAnsi="Arial Narrow" w:cs="Century Gothic"/>
          <w:sz w:val="28"/>
          <w:szCs w:val="28"/>
        </w:rPr>
        <w:t xml:space="preserve">es </w:t>
      </w:r>
      <w:r w:rsidR="00F63970" w:rsidRPr="00A10639">
        <w:rPr>
          <w:rFonts w:ascii="Arial Narrow" w:eastAsia="Century Gothic" w:hAnsi="Arial Narrow" w:cs="Century Gothic"/>
          <w:sz w:val="28"/>
          <w:szCs w:val="28"/>
        </w:rPr>
        <w:t>pluriofensivo</w:t>
      </w:r>
      <w:r w:rsidRPr="00A10639">
        <w:rPr>
          <w:rFonts w:ascii="Arial Narrow" w:eastAsia="Century Gothic" w:hAnsi="Arial Narrow" w:cs="Century Gothic"/>
          <w:sz w:val="28"/>
          <w:szCs w:val="28"/>
        </w:rPr>
        <w:t xml:space="preserve"> y, por tanto, no solo protege</w:t>
      </w:r>
      <w:r w:rsidR="00F63970" w:rsidRPr="00A10639">
        <w:rPr>
          <w:rFonts w:ascii="Arial Narrow" w:eastAsia="Century Gothic" w:hAnsi="Arial Narrow" w:cs="Century Gothic"/>
          <w:sz w:val="28"/>
          <w:szCs w:val="28"/>
        </w:rPr>
        <w:t xml:space="preserve"> la salud publica</w:t>
      </w:r>
      <w:r w:rsidRPr="00A10639">
        <w:rPr>
          <w:rFonts w:ascii="Arial Narrow" w:eastAsia="Century Gothic" w:hAnsi="Arial Narrow" w:cs="Century Gothic"/>
          <w:sz w:val="28"/>
          <w:szCs w:val="28"/>
        </w:rPr>
        <w:t xml:space="preserve"> sino también</w:t>
      </w:r>
      <w:r w:rsidR="00F63970" w:rsidRPr="00A10639">
        <w:rPr>
          <w:rFonts w:ascii="Arial Narrow" w:eastAsia="Century Gothic" w:hAnsi="Arial Narrow" w:cs="Century Gothic"/>
          <w:sz w:val="28"/>
          <w:szCs w:val="28"/>
        </w:rPr>
        <w:t xml:space="preserve"> la cultura, la competencia. Encuentra ajustado el tema de agravantes cuando se trata de menores</w:t>
      </w:r>
      <w:r w:rsidR="002D6EAE" w:rsidRPr="00A10639">
        <w:rPr>
          <w:rFonts w:ascii="Arial Narrow" w:eastAsia="Century Gothic" w:hAnsi="Arial Narrow" w:cs="Century Gothic"/>
          <w:sz w:val="28"/>
          <w:szCs w:val="28"/>
        </w:rPr>
        <w:t>.</w:t>
      </w:r>
    </w:p>
    <w:p w14:paraId="08D045CB" w14:textId="77777777" w:rsidR="00C14292" w:rsidRPr="00D01E92" w:rsidRDefault="00C14292" w:rsidP="00C14292">
      <w:pPr>
        <w:pBdr>
          <w:top w:val="nil"/>
          <w:left w:val="nil"/>
          <w:bottom w:val="nil"/>
          <w:right w:val="nil"/>
          <w:between w:val="nil"/>
        </w:pBdr>
        <w:jc w:val="center"/>
        <w:rPr>
          <w:rFonts w:ascii="Arial Narrow" w:eastAsia="Century Gothic" w:hAnsi="Arial Narrow" w:cs="Century Gothic"/>
          <w:b/>
          <w:color w:val="000000"/>
          <w:sz w:val="28"/>
          <w:szCs w:val="28"/>
        </w:rPr>
      </w:pPr>
      <w:r w:rsidRPr="00D01E92">
        <w:rPr>
          <w:rFonts w:ascii="Arial Narrow" w:eastAsia="Century Gothic" w:hAnsi="Arial Narrow" w:cs="Century Gothic"/>
          <w:b/>
          <w:color w:val="000000"/>
          <w:sz w:val="28"/>
          <w:szCs w:val="28"/>
        </w:rPr>
        <w:t>III. CONTENIDO DEL PROYECTO DE LEY</w:t>
      </w:r>
    </w:p>
    <w:p w14:paraId="391230F9" w14:textId="77777777" w:rsidR="00C14292" w:rsidRPr="00D01E92" w:rsidRDefault="00C14292" w:rsidP="00C14292">
      <w:pPr>
        <w:pBdr>
          <w:top w:val="nil"/>
          <w:left w:val="nil"/>
          <w:bottom w:val="nil"/>
          <w:right w:val="nil"/>
          <w:between w:val="nil"/>
        </w:pBdr>
        <w:jc w:val="both"/>
        <w:rPr>
          <w:rFonts w:ascii="Arial Narrow" w:eastAsia="Century Gothic" w:hAnsi="Arial Narrow" w:cs="Century Gothic"/>
          <w:sz w:val="28"/>
          <w:szCs w:val="28"/>
        </w:rPr>
      </w:pPr>
      <w:r w:rsidRPr="00D01E92">
        <w:rPr>
          <w:rFonts w:ascii="Arial Narrow" w:eastAsia="Century Gothic" w:hAnsi="Arial Narrow" w:cs="Century Gothic"/>
          <w:sz w:val="28"/>
          <w:szCs w:val="28"/>
        </w:rPr>
        <w:t xml:space="preserve">El Proyecto de Ley 252 de 2019 Cámara contiene dos artículos incluyendo la vigencia. En el artículo primero se presenta una modificación al artículo 380 de la ley 599 de 2000 “Por la cual se expide el Código Penal”, donde se establece una modificación a las penas para quien en incumplimiento de la normatividad antidopaje formule, suministre, aplique o administre a un deportista profesional o aficionado alguna sustancia o método prohibido en el deporte, o lo induzca al consumo.  </w:t>
      </w:r>
    </w:p>
    <w:p w14:paraId="225ED295" w14:textId="1D41AD1F" w:rsidR="00C14292" w:rsidRPr="00D01E92" w:rsidRDefault="00C14292" w:rsidP="00B27B98">
      <w:pPr>
        <w:pBdr>
          <w:top w:val="nil"/>
          <w:left w:val="nil"/>
          <w:bottom w:val="nil"/>
          <w:right w:val="nil"/>
          <w:between w:val="nil"/>
        </w:pBdr>
        <w:jc w:val="both"/>
        <w:rPr>
          <w:rFonts w:ascii="Arial Narrow" w:eastAsia="Century Gothic" w:hAnsi="Arial Narrow" w:cs="Century Gothic"/>
          <w:sz w:val="28"/>
          <w:szCs w:val="28"/>
        </w:rPr>
      </w:pPr>
      <w:r w:rsidRPr="00D01E92">
        <w:rPr>
          <w:rFonts w:ascii="Arial Narrow" w:eastAsia="Century Gothic" w:hAnsi="Arial Narrow" w:cs="Century Gothic"/>
          <w:sz w:val="28"/>
          <w:szCs w:val="28"/>
        </w:rPr>
        <w:t xml:space="preserve">El artículo segundo, incluye la vigencia del proyecto de ley. </w:t>
      </w:r>
    </w:p>
    <w:p w14:paraId="2AC16324" w14:textId="77777777" w:rsidR="00C14292" w:rsidRPr="00D01E92" w:rsidRDefault="00C14292" w:rsidP="00C14292">
      <w:pPr>
        <w:pBdr>
          <w:top w:val="nil"/>
          <w:left w:val="nil"/>
          <w:bottom w:val="nil"/>
          <w:right w:val="nil"/>
          <w:between w:val="nil"/>
        </w:pBdr>
        <w:jc w:val="center"/>
        <w:rPr>
          <w:rFonts w:ascii="Arial Narrow" w:eastAsia="Century Gothic" w:hAnsi="Arial Narrow" w:cs="Century Gothic"/>
          <w:b/>
          <w:sz w:val="28"/>
          <w:szCs w:val="28"/>
        </w:rPr>
      </w:pPr>
      <w:r w:rsidRPr="00D01E92">
        <w:rPr>
          <w:rFonts w:ascii="Arial Narrow" w:eastAsia="Century Gothic" w:hAnsi="Arial Narrow" w:cs="Century Gothic"/>
          <w:b/>
          <w:sz w:val="28"/>
          <w:szCs w:val="28"/>
        </w:rPr>
        <w:t xml:space="preserve">IV. JUSTIFICACIÓN </w:t>
      </w:r>
    </w:p>
    <w:p w14:paraId="58051AB8" w14:textId="77777777" w:rsidR="00C14292" w:rsidRPr="00D01E92" w:rsidRDefault="00C14292" w:rsidP="00C14292">
      <w:pPr>
        <w:pBdr>
          <w:top w:val="nil"/>
          <w:left w:val="nil"/>
          <w:bottom w:val="nil"/>
          <w:right w:val="nil"/>
          <w:between w:val="nil"/>
        </w:pBdr>
        <w:jc w:val="both"/>
        <w:rPr>
          <w:rFonts w:ascii="Arial Narrow" w:eastAsia="Century Gothic" w:hAnsi="Arial Narrow" w:cs="Century Gothic"/>
          <w:sz w:val="28"/>
          <w:szCs w:val="28"/>
        </w:rPr>
      </w:pPr>
      <w:r w:rsidRPr="00D01E92">
        <w:rPr>
          <w:rFonts w:ascii="Arial Narrow" w:eastAsia="Century Gothic" w:hAnsi="Arial Narrow" w:cs="Century Gothic"/>
          <w:sz w:val="28"/>
          <w:szCs w:val="28"/>
        </w:rPr>
        <w:t xml:space="preserve">La palabra “Doping” proviene del término “dop”, el cual, se cree, era utilizado por la tribu africana Kaffir para identificar una bebida alcohólica primitiva, que era suministrada a los guerreros para que obtuvieran durante la batalla, una ventaja significativa contra sus rivales. En 1933 aparece por primera vez la palabra “doping” dentro de un diccionario </w:t>
      </w:r>
      <w:r w:rsidRPr="00D01E92">
        <w:rPr>
          <w:rFonts w:ascii="Arial Narrow" w:eastAsia="Century Gothic" w:hAnsi="Arial Narrow" w:cs="Century Gothic"/>
          <w:sz w:val="28"/>
          <w:szCs w:val="28"/>
        </w:rPr>
        <w:lastRenderedPageBreak/>
        <w:t xml:space="preserve">norteamericano, el cual señalaba como significado: “mezcla de opio y narcóticos administrada a los caballos” </w:t>
      </w:r>
    </w:p>
    <w:p w14:paraId="3E373B13" w14:textId="7B9B36D4" w:rsidR="00C14292" w:rsidRPr="00D01E92" w:rsidRDefault="00C14292" w:rsidP="00C14292">
      <w:pPr>
        <w:autoSpaceDE w:val="0"/>
        <w:autoSpaceDN w:val="0"/>
        <w:adjustRightInd w:val="0"/>
        <w:jc w:val="both"/>
        <w:rPr>
          <w:rFonts w:ascii="Arial Narrow" w:hAnsi="Arial Narrow" w:cs="Arial"/>
          <w:sz w:val="28"/>
          <w:szCs w:val="28"/>
        </w:rPr>
      </w:pPr>
      <w:r w:rsidRPr="00D01E92">
        <w:rPr>
          <w:rFonts w:ascii="Arial Narrow" w:eastAsia="Century Gothic" w:hAnsi="Arial Narrow" w:cs="Century Gothic"/>
          <w:sz w:val="28"/>
          <w:szCs w:val="28"/>
        </w:rPr>
        <w:t>Actualmente, este término, es entendido según el Comité Olímpico Internacional como: “</w:t>
      </w:r>
      <w:r w:rsidRPr="00D01E92">
        <w:rPr>
          <w:rFonts w:ascii="Arial Narrow" w:hAnsi="Arial Narrow" w:cs="Arial"/>
          <w:sz w:val="28"/>
          <w:szCs w:val="28"/>
        </w:rPr>
        <w:t xml:space="preserve">el uso de sustancias prohibidas (o la presencia de marcadores de dichas sustancias en el cuerpo del atleta) o métodos que pueden mejorar artificialmente la condición física o mental de un deportista y con ella, el rendimiento en la práctica deportiva” </w:t>
      </w:r>
    </w:p>
    <w:p w14:paraId="6A157D9B" w14:textId="0C93688B" w:rsidR="00C14292" w:rsidRPr="00D01E92" w:rsidRDefault="00C14292" w:rsidP="00B27B98">
      <w:pPr>
        <w:autoSpaceDE w:val="0"/>
        <w:autoSpaceDN w:val="0"/>
        <w:adjustRightInd w:val="0"/>
        <w:jc w:val="both"/>
        <w:rPr>
          <w:rFonts w:ascii="Arial Narrow" w:hAnsi="Arial Narrow" w:cs="Arial"/>
          <w:sz w:val="28"/>
          <w:szCs w:val="28"/>
        </w:rPr>
      </w:pPr>
      <w:r w:rsidRPr="00D01E92">
        <w:rPr>
          <w:rFonts w:ascii="Arial Narrow" w:hAnsi="Arial Narrow" w:cs="Arial"/>
          <w:sz w:val="28"/>
          <w:szCs w:val="28"/>
        </w:rPr>
        <w:t xml:space="preserve">Así mismo, </w:t>
      </w:r>
      <w:r w:rsidRPr="00D01E92">
        <w:rPr>
          <w:rFonts w:ascii="Arial Narrow" w:eastAsia="Century Gothic" w:hAnsi="Arial Narrow" w:cs="Century Gothic"/>
          <w:sz w:val="28"/>
          <w:szCs w:val="28"/>
        </w:rPr>
        <w:t xml:space="preserve">la </w:t>
      </w:r>
      <w:r w:rsidRPr="00D01E92">
        <w:rPr>
          <w:rFonts w:ascii="Arial Narrow" w:hAnsi="Arial Narrow" w:cs="Arial"/>
          <w:sz w:val="28"/>
          <w:szCs w:val="28"/>
        </w:rPr>
        <w:t>Agencia Mundial Antidopaje, ha señalado que el “doping” hace referencia a: “cualquier medida que pretende modificar, de un modo no fisiológico, la capacidad de rendimiento mental o físico de un deportista, así como eliminar, sin justificación médica, una enfermedad o lesión, con la finalidad de poder participar en una competición deportiva”</w:t>
      </w:r>
      <w:r w:rsidRPr="00D01E92">
        <w:rPr>
          <w:rStyle w:val="Refdenotaalpie"/>
          <w:rFonts w:ascii="Arial Narrow" w:hAnsi="Arial Narrow" w:cs="Arial"/>
          <w:sz w:val="28"/>
          <w:szCs w:val="28"/>
        </w:rPr>
        <w:footnoteReference w:id="1"/>
      </w:r>
    </w:p>
    <w:p w14:paraId="55809486" w14:textId="77777777" w:rsidR="00C14292" w:rsidRPr="00D01E92" w:rsidRDefault="00C14292" w:rsidP="00C14292">
      <w:pPr>
        <w:pBdr>
          <w:top w:val="nil"/>
          <w:left w:val="nil"/>
          <w:bottom w:val="nil"/>
          <w:right w:val="nil"/>
          <w:between w:val="nil"/>
        </w:pBdr>
        <w:jc w:val="both"/>
        <w:rPr>
          <w:rFonts w:ascii="Arial Narrow" w:eastAsia="Century Gothic" w:hAnsi="Arial Narrow" w:cs="Century Gothic"/>
          <w:sz w:val="28"/>
          <w:szCs w:val="28"/>
        </w:rPr>
      </w:pPr>
      <w:r w:rsidRPr="00D01E92">
        <w:rPr>
          <w:rFonts w:ascii="Arial Narrow" w:eastAsia="Century Gothic" w:hAnsi="Arial Narrow" w:cs="Century Gothic"/>
          <w:sz w:val="28"/>
          <w:szCs w:val="28"/>
        </w:rPr>
        <w:t xml:space="preserve">En este sentido, resulta pertinente señalar, que, desde los inicios de la humanidad, la rivalidad entre personas ha hecho que se busquen diferentes mecanismos lícitos o ilícitos, que permitan sobresalir entre una variedad de personas, lo cual también llego a la esfera del deporte, pues en este, los atletas o incluso los aficionados viven en una constante competencia por ser mejores que el otro. </w:t>
      </w:r>
    </w:p>
    <w:p w14:paraId="40CEC421" w14:textId="77777777" w:rsidR="00C14292" w:rsidRPr="00D01E92" w:rsidRDefault="00C14292" w:rsidP="00C14292">
      <w:pPr>
        <w:pBdr>
          <w:top w:val="nil"/>
          <w:left w:val="nil"/>
          <w:bottom w:val="nil"/>
          <w:right w:val="nil"/>
          <w:between w:val="nil"/>
        </w:pBdr>
        <w:jc w:val="both"/>
        <w:rPr>
          <w:rFonts w:ascii="Arial Narrow" w:eastAsia="Century Gothic" w:hAnsi="Arial Narrow" w:cs="Century Gothic"/>
          <w:sz w:val="28"/>
          <w:szCs w:val="28"/>
        </w:rPr>
      </w:pPr>
      <w:r w:rsidRPr="00D01E92">
        <w:rPr>
          <w:rFonts w:ascii="Arial Narrow" w:hAnsi="Arial Narrow"/>
          <w:sz w:val="28"/>
          <w:szCs w:val="28"/>
        </w:rPr>
        <w:t xml:space="preserve">Actualmente, </w:t>
      </w:r>
      <w:r w:rsidRPr="00D01E92">
        <w:rPr>
          <w:rFonts w:ascii="Arial Narrow" w:eastAsia="Century Gothic" w:hAnsi="Arial Narrow" w:cs="Century Gothic"/>
          <w:sz w:val="28"/>
          <w:szCs w:val="28"/>
        </w:rPr>
        <w:t xml:space="preserve">el deporte ocupa una posición significativa en las agendas de los países, pues ha empezado a obtener una notoriedad social muy importante en diferentes torneos, como el mundial de futbol, el tour de Francia, el giro de Italia, Wimbledon, entre otros. Esto, ha generado que los atletas sean apreciados por la sociedad como nuevos héroes nacionales, pero también como un importante negocio para los patrocinadores, quienes invierten un numero alto de recursos para que estos representen sus marcas o productos. </w:t>
      </w:r>
    </w:p>
    <w:p w14:paraId="5746EB98" w14:textId="77777777" w:rsidR="00C14292" w:rsidRPr="00D01E92" w:rsidRDefault="00C14292" w:rsidP="00C14292">
      <w:pPr>
        <w:pBdr>
          <w:top w:val="nil"/>
          <w:left w:val="nil"/>
          <w:bottom w:val="nil"/>
          <w:right w:val="nil"/>
          <w:between w:val="nil"/>
        </w:pBdr>
        <w:jc w:val="both"/>
        <w:rPr>
          <w:rFonts w:ascii="Arial Narrow" w:eastAsia="Century Gothic" w:hAnsi="Arial Narrow" w:cs="Century Gothic"/>
          <w:sz w:val="28"/>
          <w:szCs w:val="28"/>
        </w:rPr>
      </w:pPr>
      <w:r w:rsidRPr="00D01E92">
        <w:rPr>
          <w:rFonts w:ascii="Arial Narrow" w:eastAsia="Century Gothic" w:hAnsi="Arial Narrow" w:cs="Century Gothic"/>
          <w:sz w:val="28"/>
          <w:szCs w:val="28"/>
        </w:rPr>
        <w:t xml:space="preserve">Las perspectivas de estos negocios que se hacen alrededor de los atletas son tan altas que, los deportistas se ven abocados a unas altas exigencias por parte de los espectadores, y de las marcas comerciales detrás de ellos, que en ocasiones rompe la </w:t>
      </w:r>
      <w:r w:rsidRPr="00D01E92">
        <w:rPr>
          <w:rFonts w:ascii="Arial Narrow" w:eastAsia="Century Gothic" w:hAnsi="Arial Narrow" w:cs="Century Gothic"/>
          <w:sz w:val="28"/>
          <w:szCs w:val="28"/>
        </w:rPr>
        <w:lastRenderedPageBreak/>
        <w:t>justa competición y no se mantiene el “fair play” del torneo, llevandolos a cometer conductas contrarias al “espíritu deportivo”.</w:t>
      </w:r>
    </w:p>
    <w:p w14:paraId="56C91C9B" w14:textId="77777777" w:rsidR="00C14292" w:rsidRPr="00D01E92" w:rsidRDefault="00C14292" w:rsidP="00C14292">
      <w:pPr>
        <w:pBdr>
          <w:top w:val="nil"/>
          <w:left w:val="nil"/>
          <w:bottom w:val="nil"/>
          <w:right w:val="nil"/>
          <w:between w:val="nil"/>
        </w:pBdr>
        <w:jc w:val="both"/>
        <w:rPr>
          <w:rFonts w:ascii="Arial Narrow" w:hAnsi="Arial Narrow" w:cs="Arial"/>
          <w:sz w:val="28"/>
          <w:szCs w:val="28"/>
        </w:rPr>
      </w:pPr>
      <w:r w:rsidRPr="00D01E92">
        <w:rPr>
          <w:rFonts w:ascii="Arial Narrow" w:eastAsia="Century Gothic" w:hAnsi="Arial Narrow" w:cs="Century Gothic"/>
          <w:sz w:val="28"/>
          <w:szCs w:val="28"/>
        </w:rPr>
        <w:t>Es por lo anterior, que en la normatividad actual existen vacíos y deficiencias en la regulación que enmarca el cuadro normativo que protege a los deportistas, pues se ha tratado el tema de la protección al deporte como un tema de segunda cateogoria para los países y así ha sido visto por el grupo de trabajo interinstitucional de Naciones Unidas sobre el Deporte para el Desarrollo y la paz,  quienes en un informe emitido en el año 2003</w:t>
      </w:r>
      <w:r w:rsidRPr="00D01E92">
        <w:rPr>
          <w:rStyle w:val="Refdenotaalpie"/>
          <w:rFonts w:ascii="Arial Narrow" w:eastAsia="Century Gothic" w:hAnsi="Arial Narrow" w:cs="Century Gothic"/>
          <w:sz w:val="28"/>
          <w:szCs w:val="28"/>
        </w:rPr>
        <w:footnoteReference w:id="2"/>
      </w:r>
      <w:r w:rsidRPr="00D01E92">
        <w:rPr>
          <w:rFonts w:ascii="Arial Narrow" w:eastAsia="Century Gothic" w:hAnsi="Arial Narrow" w:cs="Century Gothic"/>
          <w:sz w:val="28"/>
          <w:szCs w:val="28"/>
        </w:rPr>
        <w:t>, sostuvieron que: “a</w:t>
      </w:r>
      <w:r w:rsidRPr="00D01E92">
        <w:rPr>
          <w:rFonts w:ascii="Arial Narrow" w:hAnsi="Arial Narrow" w:cs="Arial"/>
          <w:sz w:val="28"/>
          <w:szCs w:val="28"/>
        </w:rPr>
        <w:t>unque se reconoce constantemente que el deporte y el juego son un derecho humano, no siempre son vistos como una prioridad e incluso se le llama el “derecho olvidado”.</w:t>
      </w:r>
    </w:p>
    <w:p w14:paraId="7C5B3FD8" w14:textId="77777777" w:rsidR="00C14292" w:rsidRPr="00D01E92" w:rsidRDefault="00C14292" w:rsidP="00C14292">
      <w:pPr>
        <w:pBdr>
          <w:top w:val="nil"/>
          <w:left w:val="nil"/>
          <w:bottom w:val="nil"/>
          <w:right w:val="nil"/>
          <w:between w:val="nil"/>
        </w:pBdr>
        <w:jc w:val="both"/>
        <w:rPr>
          <w:rFonts w:ascii="Arial Narrow" w:eastAsia="Century Gothic" w:hAnsi="Arial Narrow" w:cs="Century Gothic"/>
          <w:sz w:val="28"/>
          <w:szCs w:val="28"/>
        </w:rPr>
      </w:pPr>
      <w:r w:rsidRPr="00D01E92">
        <w:rPr>
          <w:rFonts w:ascii="Arial Narrow" w:eastAsia="Century Gothic" w:hAnsi="Arial Narrow" w:cs="Century Gothic"/>
          <w:sz w:val="28"/>
          <w:szCs w:val="28"/>
        </w:rPr>
        <w:t xml:space="preserve">En lo que refiere a Colombia, las conductas cometidas en contra de la lealtad deportiva no eran objeto de reproche penal, lo que originaba que algunos comportamientos ilícitos realizados en cualquier campo deportivo quedaran totalmente impunes. Tal es el caso, de lo sucedido con el marcador de la sexta valida del hipódromo de techo, en donde se registro la primera estafa colectiva en la cual, los responsables no fueron condenados porque el derecho penal colombiano no contemplaba el fraude colectivo en el juego. </w:t>
      </w:r>
    </w:p>
    <w:p w14:paraId="53AD43FE" w14:textId="77777777" w:rsidR="00C14292" w:rsidRPr="00D01E92" w:rsidRDefault="00C14292" w:rsidP="00C14292">
      <w:pPr>
        <w:pBdr>
          <w:top w:val="nil"/>
          <w:left w:val="nil"/>
          <w:bottom w:val="nil"/>
          <w:right w:val="nil"/>
          <w:between w:val="nil"/>
        </w:pBdr>
        <w:jc w:val="both"/>
        <w:rPr>
          <w:rFonts w:ascii="Arial Narrow" w:eastAsia="Century Gothic" w:hAnsi="Arial Narrow" w:cs="Century Gothic"/>
          <w:sz w:val="28"/>
          <w:szCs w:val="28"/>
        </w:rPr>
      </w:pPr>
      <w:r w:rsidRPr="00D01E92">
        <w:rPr>
          <w:rFonts w:ascii="Arial Narrow" w:eastAsia="Century Gothic" w:hAnsi="Arial Narrow" w:cs="Century Gothic"/>
          <w:sz w:val="28"/>
          <w:szCs w:val="28"/>
        </w:rPr>
        <w:t xml:space="preserve">A raíz de lo anterior y de diferentes situaciones que desdibujan el objetivo final del deporte, que es mantener un “fair play”, la normatividad colombiana ha venido realizando cambios concretos, los cuales nos demuestran que el derecho penal debe irse adaptando al deporte. </w:t>
      </w:r>
    </w:p>
    <w:p w14:paraId="3916514C" w14:textId="77777777" w:rsidR="00C14292" w:rsidRPr="00D01E92" w:rsidRDefault="00C14292" w:rsidP="00C14292">
      <w:pPr>
        <w:pBdr>
          <w:top w:val="nil"/>
          <w:left w:val="nil"/>
          <w:bottom w:val="nil"/>
          <w:right w:val="nil"/>
          <w:between w:val="nil"/>
        </w:pBdr>
        <w:jc w:val="both"/>
        <w:rPr>
          <w:rFonts w:ascii="Arial Narrow" w:hAnsi="Arial Narrow" w:cs="Arial"/>
          <w:color w:val="4B4949"/>
          <w:sz w:val="28"/>
          <w:szCs w:val="28"/>
        </w:rPr>
      </w:pPr>
      <w:r w:rsidRPr="00D01E92">
        <w:rPr>
          <w:rFonts w:ascii="Arial Narrow" w:eastAsia="Century Gothic" w:hAnsi="Arial Narrow" w:cs="Century Gothic"/>
          <w:sz w:val="28"/>
          <w:szCs w:val="28"/>
        </w:rPr>
        <w:t>Un caso específico, es el artículo 380 del Código Penal, donde se tipifico el suministro o formulación ilegal a deportistas, el cual al ser un tipo penal subordinado se remite expresamente a lo consagrado en el artículo 379 de este código, en donde se señala que: “</w:t>
      </w:r>
      <w:r w:rsidRPr="00D01E92">
        <w:rPr>
          <w:rFonts w:ascii="Arial Narrow" w:hAnsi="Arial Narrow" w:cs="Arial"/>
          <w:sz w:val="28"/>
          <w:szCs w:val="28"/>
        </w:rPr>
        <w:t xml:space="preserve">El profesional o practicante de medicina, odontología, enfermería, farmacia o de alguna de las respectivas profesiones auxiliares que, en ejercicio de ellas, ilegalmente formule, suministre o aplique droga que produzca dependencia, incurrirá en prisión de cuarenta y ocho (48) a ciento cuarenta y cuatro (144) meses y multa de ciento treinta y tres punto treinta y tres (133.33) a mil quinientos (1.500) salarios mínimos legales </w:t>
      </w:r>
      <w:r w:rsidRPr="00D01E92">
        <w:rPr>
          <w:rFonts w:ascii="Arial Narrow" w:hAnsi="Arial Narrow" w:cs="Arial"/>
          <w:sz w:val="28"/>
          <w:szCs w:val="28"/>
        </w:rPr>
        <w:lastRenderedPageBreak/>
        <w:t>mensuales vigentes, e inhabilitación para el ejercicio de la profesión, arte, oficio, industria o comercio de ochenta (80) a ciento ochenta (180) meses.”</w:t>
      </w:r>
    </w:p>
    <w:p w14:paraId="2839AB46" w14:textId="77777777" w:rsidR="00C14292" w:rsidRPr="00D01E92" w:rsidRDefault="00C14292" w:rsidP="00C14292">
      <w:pPr>
        <w:pBdr>
          <w:top w:val="nil"/>
          <w:left w:val="nil"/>
          <w:bottom w:val="nil"/>
          <w:right w:val="nil"/>
          <w:between w:val="nil"/>
        </w:pBdr>
        <w:jc w:val="both"/>
        <w:rPr>
          <w:rFonts w:ascii="Arial Narrow" w:eastAsia="Century Gothic" w:hAnsi="Arial Narrow" w:cs="Century Gothic"/>
          <w:sz w:val="28"/>
          <w:szCs w:val="28"/>
        </w:rPr>
      </w:pPr>
      <w:r w:rsidRPr="00D01E92">
        <w:rPr>
          <w:rFonts w:ascii="Arial Narrow" w:eastAsia="Century Gothic" w:hAnsi="Arial Narrow" w:cs="Century Gothic"/>
          <w:sz w:val="28"/>
          <w:szCs w:val="28"/>
        </w:rPr>
        <w:t xml:space="preserve">A raíz de la entrada en vigencia del Codigo Mundial Antidopaje, este tipo penal consagrado en el artículo 380 de la Ley 599 del 2000, ha venido quedando en desuso, por cuanto estos hacen referencia únicamente a aquellas sustancias dopantes que “producen dependencia”, lo cual es contradictorio con la lista de prohibiciones de la WADA-AMA en donde se identifican también sustancias y métodos dopantes que “NO producen dependencia” </w:t>
      </w:r>
    </w:p>
    <w:p w14:paraId="476C6E07" w14:textId="77777777" w:rsidR="00C14292" w:rsidRPr="00D01E92" w:rsidRDefault="00C14292" w:rsidP="00C14292">
      <w:pPr>
        <w:jc w:val="both"/>
        <w:rPr>
          <w:rFonts w:ascii="Arial Narrow" w:hAnsi="Arial Narrow" w:cs="Arial"/>
          <w:sz w:val="28"/>
          <w:szCs w:val="28"/>
        </w:rPr>
      </w:pPr>
      <w:r w:rsidRPr="00D01E92">
        <w:rPr>
          <w:rFonts w:ascii="Arial Narrow" w:hAnsi="Arial Narrow" w:cs="Arial"/>
          <w:sz w:val="28"/>
          <w:szCs w:val="28"/>
        </w:rPr>
        <w:t xml:space="preserve">De igual forma, resulta necesario destacar que, en los últimos años, la utilización de productos que conllevan al dopaje no solo está siendo utilizados por deportistas, sino también por el grupo de apoyo que rodea al atleta. Así mismo, estas sustancias están siendo aplicadas a aficionados que participan en competencias de alto rendimiento. </w:t>
      </w:r>
    </w:p>
    <w:p w14:paraId="25C5D4F7" w14:textId="77777777" w:rsidR="00C14292" w:rsidRPr="00D01E92" w:rsidRDefault="00C14292" w:rsidP="00C14292">
      <w:pPr>
        <w:jc w:val="both"/>
        <w:rPr>
          <w:rFonts w:ascii="Arial Narrow" w:hAnsi="Arial Narrow" w:cs="Arial"/>
          <w:sz w:val="28"/>
          <w:szCs w:val="28"/>
        </w:rPr>
      </w:pPr>
    </w:p>
    <w:p w14:paraId="3187DA14" w14:textId="77777777" w:rsidR="00C14292" w:rsidRPr="00D01E92" w:rsidRDefault="00C14292" w:rsidP="00C14292">
      <w:pPr>
        <w:pBdr>
          <w:top w:val="nil"/>
          <w:left w:val="nil"/>
          <w:bottom w:val="nil"/>
          <w:right w:val="nil"/>
          <w:between w:val="nil"/>
        </w:pBdr>
        <w:jc w:val="both"/>
        <w:rPr>
          <w:rFonts w:ascii="Arial Narrow" w:hAnsi="Arial Narrow" w:cs="Arial"/>
          <w:sz w:val="28"/>
          <w:szCs w:val="28"/>
        </w:rPr>
      </w:pPr>
      <w:r w:rsidRPr="00D01E92">
        <w:rPr>
          <w:rFonts w:ascii="Arial Narrow" w:hAnsi="Arial Narrow" w:cs="Arial"/>
          <w:sz w:val="28"/>
          <w:szCs w:val="28"/>
        </w:rPr>
        <w:t>Es por esto que este tipo de iniciativas legislativas, contribuyen a seguir fortaleciendo y protegiendo el papel del deporte, pues permite que conductas que son transgresoras de este, como el dopaje, quede duramente sancionada.</w:t>
      </w:r>
    </w:p>
    <w:p w14:paraId="43C5FCA5" w14:textId="77777777" w:rsidR="00C14292" w:rsidRPr="00D01E92" w:rsidRDefault="00C14292" w:rsidP="00C14292">
      <w:pPr>
        <w:pBdr>
          <w:top w:val="nil"/>
          <w:left w:val="nil"/>
          <w:bottom w:val="nil"/>
          <w:right w:val="nil"/>
          <w:between w:val="nil"/>
        </w:pBdr>
        <w:jc w:val="center"/>
        <w:rPr>
          <w:rFonts w:ascii="Arial Narrow" w:eastAsia="Century Gothic" w:hAnsi="Arial Narrow" w:cs="Century Gothic"/>
          <w:b/>
          <w:color w:val="000000"/>
          <w:sz w:val="28"/>
          <w:szCs w:val="28"/>
        </w:rPr>
      </w:pPr>
      <w:r w:rsidRPr="00D01E92">
        <w:rPr>
          <w:rFonts w:ascii="Arial Narrow" w:eastAsia="Century Gothic" w:hAnsi="Arial Narrow" w:cs="Century Gothic"/>
          <w:b/>
          <w:color w:val="000000"/>
          <w:sz w:val="28"/>
          <w:szCs w:val="28"/>
        </w:rPr>
        <w:t>IV. NORMATIVIDAD</w:t>
      </w:r>
    </w:p>
    <w:p w14:paraId="1D7A1571" w14:textId="77777777" w:rsidR="00C14292" w:rsidRPr="00D01E92" w:rsidRDefault="00C14292" w:rsidP="00C14292">
      <w:pPr>
        <w:spacing w:before="240" w:after="240"/>
        <w:jc w:val="both"/>
        <w:rPr>
          <w:rFonts w:ascii="Arial Narrow" w:eastAsia="Century Gothic" w:hAnsi="Arial Narrow" w:cs="Century Gothic"/>
          <w:sz w:val="28"/>
          <w:szCs w:val="28"/>
        </w:rPr>
      </w:pPr>
      <w:r w:rsidRPr="00D01E92">
        <w:rPr>
          <w:rFonts w:ascii="Arial Narrow" w:eastAsia="Century Gothic" w:hAnsi="Arial Narrow" w:cs="Century Gothic"/>
          <w:sz w:val="28"/>
          <w:szCs w:val="28"/>
        </w:rPr>
        <w:t xml:space="preserve">El presente Proyecto de Ley tiene por objeto, modificar la Ley 599 de 2000, con el fin de actualizarlo en lo que tiene que ver con la conducta punible de suministro o formulación ilegal a deportistas y de esta manera llegar a una armonización normativa con las disposiciones que en materia de dopaje se dispuso en el Código Mundial Antidopaje y la Convención Internacional contra el Dopaje en el deporte. </w:t>
      </w:r>
    </w:p>
    <w:p w14:paraId="6F955F2C" w14:textId="464C44F6" w:rsidR="00C14292" w:rsidRDefault="00C14292" w:rsidP="00C14292">
      <w:pPr>
        <w:spacing w:before="240" w:after="240"/>
        <w:jc w:val="both"/>
        <w:rPr>
          <w:rFonts w:ascii="Arial Narrow" w:eastAsia="Century Gothic" w:hAnsi="Arial Narrow" w:cs="Century Gothic"/>
          <w:sz w:val="28"/>
          <w:szCs w:val="28"/>
        </w:rPr>
      </w:pPr>
      <w:r w:rsidRPr="00D01E92">
        <w:rPr>
          <w:rFonts w:ascii="Arial Narrow" w:eastAsia="Century Gothic" w:hAnsi="Arial Narrow" w:cs="Century Gothic"/>
          <w:sz w:val="28"/>
          <w:szCs w:val="28"/>
        </w:rPr>
        <w:t>Dentro de la normatividad que regula el tema se encuentra:</w:t>
      </w:r>
    </w:p>
    <w:p w14:paraId="76FE68CE" w14:textId="2066E308" w:rsidR="002A456C" w:rsidRDefault="002A456C" w:rsidP="00C14292">
      <w:pPr>
        <w:spacing w:before="240" w:after="240"/>
        <w:jc w:val="both"/>
        <w:rPr>
          <w:rFonts w:ascii="Arial Narrow" w:eastAsia="Century Gothic" w:hAnsi="Arial Narrow" w:cs="Century Gothic"/>
          <w:sz w:val="28"/>
          <w:szCs w:val="28"/>
        </w:rPr>
      </w:pPr>
    </w:p>
    <w:p w14:paraId="262078CF" w14:textId="7942D7D3" w:rsidR="002A456C" w:rsidRDefault="002A456C" w:rsidP="00C14292">
      <w:pPr>
        <w:spacing w:before="240" w:after="240"/>
        <w:jc w:val="both"/>
        <w:rPr>
          <w:rFonts w:ascii="Arial Narrow" w:eastAsia="Century Gothic" w:hAnsi="Arial Narrow" w:cs="Century Gothic"/>
          <w:sz w:val="28"/>
          <w:szCs w:val="28"/>
        </w:rPr>
      </w:pPr>
    </w:p>
    <w:p w14:paraId="1890CEDE" w14:textId="27DB13ED" w:rsidR="002A456C" w:rsidRPr="00D01E92" w:rsidRDefault="002A456C" w:rsidP="00C14292">
      <w:pPr>
        <w:spacing w:before="240" w:after="240"/>
        <w:jc w:val="both"/>
        <w:rPr>
          <w:rFonts w:ascii="Arial Narrow" w:eastAsia="Century Gothic" w:hAnsi="Arial Narrow" w:cs="Century Gothic"/>
          <w:sz w:val="28"/>
          <w:szCs w:val="28"/>
        </w:rPr>
      </w:pPr>
    </w:p>
    <w:p w14:paraId="507113FE" w14:textId="77777777" w:rsidR="00C14292" w:rsidRPr="00D01E92" w:rsidRDefault="00C14292" w:rsidP="00C14292">
      <w:pPr>
        <w:jc w:val="center"/>
        <w:rPr>
          <w:rFonts w:ascii="Arial Narrow" w:hAnsi="Arial Narrow" w:cs="Arial"/>
          <w:b/>
          <w:sz w:val="28"/>
          <w:szCs w:val="28"/>
        </w:rPr>
      </w:pPr>
      <w:r w:rsidRPr="00D01E92">
        <w:rPr>
          <w:rFonts w:ascii="Arial Narrow" w:hAnsi="Arial Narrow" w:cs="Arial"/>
          <w:b/>
          <w:sz w:val="28"/>
          <w:szCs w:val="28"/>
        </w:rPr>
        <w:lastRenderedPageBreak/>
        <w:t>MARCO JURÍDICO</w:t>
      </w:r>
    </w:p>
    <w:p w14:paraId="1D18DE9A" w14:textId="77777777" w:rsidR="00C14292" w:rsidRPr="00D01E92" w:rsidRDefault="00C14292" w:rsidP="00C14292">
      <w:pPr>
        <w:jc w:val="both"/>
        <w:rPr>
          <w:rFonts w:ascii="Arial Narrow" w:hAnsi="Arial Narrow" w:cs="Arial"/>
          <w:b/>
          <w:sz w:val="28"/>
          <w:szCs w:val="28"/>
        </w:rPr>
      </w:pPr>
    </w:p>
    <w:p w14:paraId="5E207FED" w14:textId="77777777" w:rsidR="00C14292" w:rsidRPr="00D01E92" w:rsidRDefault="00C14292" w:rsidP="00C14292">
      <w:pPr>
        <w:jc w:val="both"/>
        <w:rPr>
          <w:rFonts w:ascii="Arial Narrow" w:hAnsi="Arial Narrow" w:cs="Arial"/>
          <w:b/>
          <w:sz w:val="28"/>
          <w:szCs w:val="28"/>
        </w:rPr>
      </w:pPr>
      <w:r w:rsidRPr="00D01E92">
        <w:rPr>
          <w:rFonts w:ascii="Arial Narrow" w:hAnsi="Arial Narrow" w:cs="Arial"/>
          <w:b/>
          <w:sz w:val="28"/>
          <w:szCs w:val="28"/>
        </w:rPr>
        <w:t>DECRETO 2845 DE 1984. POR EL CUAL SE DICTAN NORMAS PARA EL ORDENAMIENTO DEL DEPORTE, LA EDUCACIÓN FÍSICA Y LA RECREACIÓN.</w:t>
      </w:r>
    </w:p>
    <w:p w14:paraId="1FD899F7" w14:textId="77777777" w:rsidR="00C14292" w:rsidRPr="00D01E92" w:rsidRDefault="00C14292" w:rsidP="00C14292">
      <w:pPr>
        <w:jc w:val="both"/>
        <w:rPr>
          <w:rFonts w:ascii="Arial Narrow" w:hAnsi="Arial Narrow" w:cs="Arial"/>
          <w:b/>
          <w:sz w:val="28"/>
          <w:szCs w:val="28"/>
        </w:rPr>
      </w:pPr>
    </w:p>
    <w:p w14:paraId="53975DAA" w14:textId="77777777" w:rsidR="00C14292" w:rsidRPr="00D01E92" w:rsidRDefault="00C14292" w:rsidP="00C14292">
      <w:pPr>
        <w:jc w:val="both"/>
        <w:rPr>
          <w:rFonts w:ascii="Arial Narrow" w:hAnsi="Arial Narrow" w:cs="Arial"/>
          <w:sz w:val="28"/>
          <w:szCs w:val="28"/>
          <w:u w:val="single"/>
        </w:rPr>
      </w:pPr>
      <w:r w:rsidRPr="00D01E92">
        <w:rPr>
          <w:rFonts w:ascii="Arial Narrow" w:hAnsi="Arial Narrow" w:cs="Arial"/>
          <w:b/>
          <w:sz w:val="28"/>
          <w:szCs w:val="28"/>
        </w:rPr>
        <w:t>ARTÍCULO 52.</w:t>
      </w:r>
      <w:r w:rsidRPr="00D01E92">
        <w:rPr>
          <w:rFonts w:ascii="Arial Narrow" w:hAnsi="Arial Narrow" w:cs="Arial"/>
          <w:sz w:val="28"/>
          <w:szCs w:val="28"/>
        </w:rPr>
        <w:t xml:space="preserve"> Para preservar la sana competición, el decoro y el respeto que la actividad deportiva demanda, s</w:t>
      </w:r>
      <w:r w:rsidRPr="00D01E92">
        <w:rPr>
          <w:rFonts w:ascii="Arial Narrow" w:hAnsi="Arial Narrow" w:cs="Arial"/>
          <w:sz w:val="28"/>
          <w:szCs w:val="28"/>
          <w:u w:val="single"/>
        </w:rPr>
        <w:t>e establece un régimen disciplinario en los organismos deportivos, sin perjuicio de la responsabilidad civil, penal o administrativa in que puedan incurrir deportistas, dirigentes, personal técnico, auxiliar, científico y de juzgamiento.</w:t>
      </w:r>
    </w:p>
    <w:p w14:paraId="70F120CA" w14:textId="77777777" w:rsidR="00C14292" w:rsidRPr="00D01E92" w:rsidRDefault="00C14292" w:rsidP="00C14292">
      <w:pPr>
        <w:jc w:val="both"/>
        <w:rPr>
          <w:rFonts w:ascii="Arial Narrow" w:hAnsi="Arial Narrow" w:cs="Arial"/>
          <w:sz w:val="28"/>
          <w:szCs w:val="28"/>
          <w:u w:val="single"/>
        </w:rPr>
      </w:pPr>
    </w:p>
    <w:p w14:paraId="6D83E402" w14:textId="77777777" w:rsidR="00C14292" w:rsidRPr="00D01E92" w:rsidRDefault="00C14292" w:rsidP="00C14292">
      <w:pPr>
        <w:jc w:val="both"/>
        <w:rPr>
          <w:rFonts w:ascii="Arial Narrow" w:hAnsi="Arial Narrow" w:cs="Arial"/>
          <w:b/>
          <w:sz w:val="28"/>
          <w:szCs w:val="28"/>
        </w:rPr>
      </w:pPr>
      <w:r w:rsidRPr="00D01E92">
        <w:rPr>
          <w:rFonts w:ascii="Arial Narrow" w:hAnsi="Arial Narrow" w:cs="Arial"/>
          <w:b/>
          <w:sz w:val="28"/>
          <w:szCs w:val="28"/>
        </w:rPr>
        <w:t>ARTÍCULO 53. Se consideran faltas las siguientes:</w:t>
      </w:r>
      <w:r w:rsidRPr="00D01E92">
        <w:rPr>
          <w:rFonts w:ascii="Arial Narrow" w:hAnsi="Arial Narrow" w:cs="Arial"/>
          <w:sz w:val="28"/>
          <w:szCs w:val="28"/>
        </w:rPr>
        <w:t xml:space="preserve"> </w:t>
      </w:r>
      <w:r w:rsidRPr="00D01E92">
        <w:rPr>
          <w:rFonts w:ascii="Arial Narrow" w:hAnsi="Arial Narrow" w:cs="Arial"/>
          <w:sz w:val="28"/>
          <w:szCs w:val="28"/>
          <w:u w:val="single"/>
        </w:rPr>
        <w:t>La violación de la legislación deportiva</w:t>
      </w:r>
      <w:r w:rsidRPr="00D01E92">
        <w:rPr>
          <w:rFonts w:ascii="Arial Narrow" w:hAnsi="Arial Narrow" w:cs="Arial"/>
          <w:sz w:val="28"/>
          <w:szCs w:val="28"/>
        </w:rPr>
        <w:t>; los actos contra la discily1ina, el decoro y la ética deportivos; la violación e incumplimiento de los deberes consagrados en los estatutos o reglamentos; toda conducta que menoscabe el buen nombre del país en cualquier representación deportiva y el uso o suministro de estimulantes o sustancias prohibidas.</w:t>
      </w:r>
    </w:p>
    <w:p w14:paraId="77CF2007" w14:textId="77777777" w:rsidR="00C14292" w:rsidRPr="00D01E92" w:rsidRDefault="00C14292" w:rsidP="00C14292">
      <w:pPr>
        <w:jc w:val="both"/>
        <w:rPr>
          <w:rFonts w:ascii="Arial Narrow" w:hAnsi="Arial Narrow" w:cs="Arial"/>
          <w:b/>
          <w:sz w:val="28"/>
          <w:szCs w:val="28"/>
        </w:rPr>
      </w:pPr>
    </w:p>
    <w:p w14:paraId="600C9DC2" w14:textId="77777777" w:rsidR="00C14292" w:rsidRPr="00D01E92" w:rsidRDefault="00C14292" w:rsidP="00C14292">
      <w:pPr>
        <w:jc w:val="center"/>
        <w:rPr>
          <w:rFonts w:ascii="Arial Narrow" w:hAnsi="Arial Narrow" w:cs="Arial"/>
          <w:b/>
          <w:sz w:val="28"/>
          <w:szCs w:val="28"/>
        </w:rPr>
      </w:pPr>
      <w:r w:rsidRPr="00D01E92">
        <w:rPr>
          <w:rFonts w:ascii="Arial Narrow" w:hAnsi="Arial Narrow" w:cs="Arial"/>
          <w:b/>
          <w:sz w:val="28"/>
          <w:szCs w:val="28"/>
        </w:rPr>
        <w:t>MARCO LEGAL</w:t>
      </w:r>
    </w:p>
    <w:p w14:paraId="5F0D06FF" w14:textId="77777777" w:rsidR="00C14292" w:rsidRPr="00D01E92" w:rsidRDefault="00C14292" w:rsidP="00C14292">
      <w:pPr>
        <w:jc w:val="both"/>
        <w:rPr>
          <w:rFonts w:ascii="Arial Narrow" w:hAnsi="Arial Narrow" w:cs="Arial"/>
          <w:b/>
          <w:sz w:val="28"/>
          <w:szCs w:val="28"/>
        </w:rPr>
      </w:pPr>
    </w:p>
    <w:p w14:paraId="11D25794" w14:textId="77777777" w:rsidR="00C14292" w:rsidRPr="00D01E92" w:rsidRDefault="00C14292" w:rsidP="00C14292">
      <w:pPr>
        <w:jc w:val="both"/>
        <w:rPr>
          <w:rFonts w:ascii="Arial Narrow" w:hAnsi="Arial Narrow" w:cs="Arial"/>
          <w:b/>
          <w:sz w:val="28"/>
          <w:szCs w:val="28"/>
        </w:rPr>
      </w:pPr>
      <w:r w:rsidRPr="00D01E92">
        <w:rPr>
          <w:rFonts w:ascii="Arial Narrow" w:hAnsi="Arial Narrow" w:cs="Arial"/>
          <w:b/>
          <w:sz w:val="28"/>
          <w:szCs w:val="28"/>
        </w:rPr>
        <w:t>LEY 49 DE 1993. POR LA CUAL SE ESTABLECE EL RÉGIMEN DISCIPLINARIO EN EL DEPORTE.</w:t>
      </w:r>
    </w:p>
    <w:p w14:paraId="4D7694AB" w14:textId="77777777" w:rsidR="00C14292" w:rsidRPr="00D01E92" w:rsidRDefault="00C14292" w:rsidP="00C14292">
      <w:pPr>
        <w:jc w:val="both"/>
        <w:rPr>
          <w:rFonts w:ascii="Arial Narrow" w:hAnsi="Arial Narrow" w:cs="Arial"/>
          <w:b/>
          <w:sz w:val="28"/>
          <w:szCs w:val="28"/>
        </w:rPr>
      </w:pPr>
    </w:p>
    <w:p w14:paraId="59323E09" w14:textId="77777777" w:rsidR="00C14292" w:rsidRPr="00D01E92" w:rsidRDefault="00C14292" w:rsidP="00C14292">
      <w:pPr>
        <w:jc w:val="both"/>
        <w:rPr>
          <w:rFonts w:ascii="Arial Narrow" w:hAnsi="Arial Narrow" w:cs="Arial"/>
          <w:sz w:val="28"/>
          <w:szCs w:val="28"/>
        </w:rPr>
      </w:pPr>
      <w:r w:rsidRPr="00D01E92">
        <w:rPr>
          <w:rFonts w:ascii="Arial Narrow" w:hAnsi="Arial Narrow" w:cs="Arial"/>
          <w:b/>
          <w:sz w:val="28"/>
          <w:szCs w:val="28"/>
        </w:rPr>
        <w:t>ARTÍCULO 1o. OBJETO DEL REGIMEN DISCIPLINARIO.</w:t>
      </w:r>
      <w:r w:rsidRPr="00D01E92">
        <w:rPr>
          <w:rFonts w:ascii="Arial Narrow" w:hAnsi="Arial Narrow" w:cs="Arial"/>
          <w:sz w:val="28"/>
          <w:szCs w:val="28"/>
        </w:rPr>
        <w:t xml:space="preserve"> El régimen disciplinario previsto en esta Ley, </w:t>
      </w:r>
      <w:r w:rsidRPr="00D01E92">
        <w:rPr>
          <w:rFonts w:ascii="Arial Narrow" w:hAnsi="Arial Narrow" w:cs="Arial"/>
          <w:sz w:val="28"/>
          <w:szCs w:val="28"/>
          <w:u w:val="single"/>
        </w:rPr>
        <w:t>tiene por objeto preservar la ética, los principios, el decoro y la disciplina que rigen la actividad deportiva</w:t>
      </w:r>
      <w:r w:rsidRPr="00D01E92">
        <w:rPr>
          <w:rFonts w:ascii="Arial Narrow" w:hAnsi="Arial Narrow" w:cs="Arial"/>
          <w:sz w:val="28"/>
          <w:szCs w:val="28"/>
        </w:rPr>
        <w:t xml:space="preserve"> y a la vez asegurar el cumplimiento de las reglas de juego o competición y las normas deportivas generales.</w:t>
      </w:r>
    </w:p>
    <w:p w14:paraId="7782B7E8" w14:textId="77777777" w:rsidR="00C14292" w:rsidRPr="00D01E92" w:rsidRDefault="00C14292" w:rsidP="00C14292">
      <w:pPr>
        <w:jc w:val="both"/>
        <w:rPr>
          <w:rFonts w:ascii="Arial Narrow" w:hAnsi="Arial Narrow" w:cs="Arial"/>
          <w:b/>
          <w:sz w:val="28"/>
          <w:szCs w:val="28"/>
        </w:rPr>
      </w:pPr>
    </w:p>
    <w:p w14:paraId="6CD63AE9" w14:textId="77777777" w:rsidR="00C14292" w:rsidRPr="00D01E92" w:rsidRDefault="00C14292" w:rsidP="00C14292">
      <w:pPr>
        <w:jc w:val="both"/>
        <w:rPr>
          <w:rFonts w:ascii="Arial Narrow" w:hAnsi="Arial Narrow" w:cs="Arial"/>
          <w:sz w:val="28"/>
          <w:szCs w:val="28"/>
        </w:rPr>
      </w:pPr>
      <w:r w:rsidRPr="00D01E92">
        <w:rPr>
          <w:rFonts w:ascii="Arial Narrow" w:hAnsi="Arial Narrow" w:cs="Arial"/>
          <w:b/>
          <w:sz w:val="28"/>
          <w:szCs w:val="28"/>
        </w:rPr>
        <w:t>ARTÍCULO 2o. CAMPO DE APLICACIÓN.</w:t>
      </w:r>
      <w:r w:rsidRPr="00D01E92">
        <w:rPr>
          <w:rFonts w:ascii="Arial Narrow" w:hAnsi="Arial Narrow" w:cs="Arial"/>
          <w:sz w:val="28"/>
          <w:szCs w:val="28"/>
        </w:rPr>
        <w:t xml:space="preserve"> </w:t>
      </w:r>
      <w:r w:rsidRPr="00D01E92">
        <w:rPr>
          <w:rFonts w:ascii="Arial Narrow" w:hAnsi="Arial Narrow" w:cs="Arial"/>
          <w:sz w:val="28"/>
          <w:szCs w:val="28"/>
          <w:u w:val="single"/>
        </w:rPr>
        <w:t>El campo de aplicación del régimen disciplinario en el deporte, para los efectos de la presente Ley, se extiende a las infracciones de las reglas de juego o competición y normas generales deportivas, tipificadas en el Decreto número 2845 de 1984</w:t>
      </w:r>
      <w:r w:rsidRPr="00D01E92">
        <w:rPr>
          <w:rFonts w:ascii="Arial Narrow" w:hAnsi="Arial Narrow" w:cs="Arial"/>
          <w:sz w:val="28"/>
          <w:szCs w:val="28"/>
        </w:rPr>
        <w:t>, en esta Ley y en las disposiciones reglamentarias de estas normas y en las estatutarias de los clubes deportivos, ligas, divisiones profesionales y federaciones deportivas colombianas, cuando se trate de actividades o competiciones de carácter nacional e internacional o afecte a deportistas, dirigentes, personal técnico, científico, auxiliar y de juzgamiento que participen en ellas.</w:t>
      </w:r>
    </w:p>
    <w:p w14:paraId="719EF1C1" w14:textId="77777777" w:rsidR="00C14292" w:rsidRPr="00D01E92" w:rsidRDefault="00C14292" w:rsidP="00C14292">
      <w:pPr>
        <w:jc w:val="both"/>
        <w:rPr>
          <w:rFonts w:ascii="Arial Narrow" w:hAnsi="Arial Narrow" w:cs="Arial"/>
          <w:sz w:val="28"/>
          <w:szCs w:val="28"/>
        </w:rPr>
      </w:pPr>
      <w:r w:rsidRPr="00D01E92">
        <w:rPr>
          <w:rFonts w:ascii="Arial Narrow" w:hAnsi="Arial Narrow" w:cs="Arial"/>
          <w:b/>
          <w:sz w:val="28"/>
          <w:szCs w:val="28"/>
        </w:rPr>
        <w:t>ARTÍCULO 3o. CONCEPTOS DE INFRACCIÓN.</w:t>
      </w:r>
      <w:r w:rsidRPr="00D01E92">
        <w:rPr>
          <w:rFonts w:ascii="Arial Narrow" w:hAnsi="Arial Narrow" w:cs="Arial"/>
          <w:sz w:val="28"/>
          <w:szCs w:val="28"/>
        </w:rPr>
        <w:t xml:space="preserve"> Son infracciones de las reglas de juego o competición las acciones u omisiones que, durante el curso del juego o competición, vulneren, impidan o perturben su normal desarrollo y son infracciones a las normas generales deportivas las demás acciones u omisiones que sean contrarias a lo dispuesto por dichas normas, en especial el Decreto 2845 de 1984 y las que lo reglamenten.</w:t>
      </w:r>
    </w:p>
    <w:p w14:paraId="79AD75B7" w14:textId="77777777" w:rsidR="00C14292" w:rsidRPr="00D01E92" w:rsidRDefault="00C14292" w:rsidP="00C14292">
      <w:pPr>
        <w:jc w:val="both"/>
        <w:rPr>
          <w:rFonts w:ascii="Arial Narrow" w:hAnsi="Arial Narrow" w:cs="Arial"/>
          <w:b/>
          <w:sz w:val="28"/>
          <w:szCs w:val="28"/>
        </w:rPr>
      </w:pPr>
    </w:p>
    <w:p w14:paraId="0E89F062" w14:textId="77777777" w:rsidR="00C14292" w:rsidRPr="00D01E92" w:rsidRDefault="00C14292" w:rsidP="00C14292">
      <w:pPr>
        <w:jc w:val="both"/>
        <w:rPr>
          <w:rFonts w:ascii="Arial Narrow" w:hAnsi="Arial Narrow" w:cs="Arial"/>
          <w:sz w:val="28"/>
          <w:szCs w:val="28"/>
        </w:rPr>
      </w:pPr>
      <w:r w:rsidRPr="00D01E92">
        <w:rPr>
          <w:rFonts w:ascii="Arial Narrow" w:hAnsi="Arial Narrow" w:cs="Arial"/>
          <w:b/>
          <w:sz w:val="28"/>
          <w:szCs w:val="28"/>
        </w:rPr>
        <w:t>ARTÍCULO 11. INFRACCIONES MUY GRAVES.</w:t>
      </w:r>
      <w:r w:rsidRPr="00D01E92">
        <w:rPr>
          <w:rFonts w:ascii="Arial Narrow" w:hAnsi="Arial Narrow" w:cs="Arial"/>
          <w:sz w:val="28"/>
          <w:szCs w:val="28"/>
        </w:rPr>
        <w:t xml:space="preserve"> Se considerarán, en todo caso, como infracciones muy graves a las reglas del juego o competición o a las normas deportivas generales, las siguientes:</w:t>
      </w:r>
    </w:p>
    <w:p w14:paraId="5CD79FAA" w14:textId="77777777" w:rsidR="00C14292" w:rsidRPr="00D01E92" w:rsidRDefault="00C14292" w:rsidP="00C14292">
      <w:pPr>
        <w:jc w:val="both"/>
        <w:rPr>
          <w:rFonts w:ascii="Arial Narrow" w:hAnsi="Arial Narrow" w:cs="Arial"/>
          <w:sz w:val="28"/>
          <w:szCs w:val="28"/>
        </w:rPr>
      </w:pPr>
      <w:r w:rsidRPr="00D01E92">
        <w:rPr>
          <w:rFonts w:ascii="Arial Narrow" w:hAnsi="Arial Narrow" w:cs="Arial"/>
          <w:sz w:val="28"/>
          <w:szCs w:val="28"/>
        </w:rPr>
        <w:t xml:space="preserve">e. </w:t>
      </w:r>
      <w:r w:rsidRPr="00D01E92">
        <w:rPr>
          <w:rFonts w:ascii="Arial Narrow" w:hAnsi="Arial Narrow" w:cs="Arial"/>
          <w:sz w:val="28"/>
          <w:szCs w:val="28"/>
          <w:u w:val="single"/>
        </w:rPr>
        <w:t>La promoción, incitación o utilización de sustancias y métodos prohibidos en el deporte,</w:t>
      </w:r>
      <w:r w:rsidRPr="00D01E92">
        <w:rPr>
          <w:rFonts w:ascii="Arial Narrow" w:hAnsi="Arial Narrow" w:cs="Arial"/>
          <w:sz w:val="28"/>
          <w:szCs w:val="28"/>
        </w:rPr>
        <w:t xml:space="preserve"> como el "Doping" así como la negativa a someterse a los controles exigidos por órganos y personas competentes o cualquier acción u omisión que impida o perturbe la correcta realización de dichos controles.</w:t>
      </w:r>
    </w:p>
    <w:p w14:paraId="57152236" w14:textId="0E1E43FD" w:rsidR="00C14292" w:rsidRDefault="00C14292" w:rsidP="00C14292">
      <w:pPr>
        <w:jc w:val="both"/>
        <w:rPr>
          <w:rFonts w:ascii="Arial Narrow" w:hAnsi="Arial Narrow" w:cs="Arial"/>
          <w:sz w:val="28"/>
          <w:szCs w:val="28"/>
        </w:rPr>
      </w:pPr>
    </w:p>
    <w:p w14:paraId="3A22E9D2" w14:textId="6870FDDF" w:rsidR="00B27B98" w:rsidRDefault="00B27B98" w:rsidP="00C14292">
      <w:pPr>
        <w:jc w:val="both"/>
        <w:rPr>
          <w:rFonts w:ascii="Arial Narrow" w:hAnsi="Arial Narrow" w:cs="Arial"/>
          <w:sz w:val="28"/>
          <w:szCs w:val="28"/>
        </w:rPr>
      </w:pPr>
    </w:p>
    <w:p w14:paraId="51C83305" w14:textId="085A2CF3" w:rsidR="00B27B98" w:rsidRDefault="00B27B98" w:rsidP="00C14292">
      <w:pPr>
        <w:jc w:val="both"/>
        <w:rPr>
          <w:rFonts w:ascii="Arial Narrow" w:hAnsi="Arial Narrow" w:cs="Arial"/>
          <w:sz w:val="28"/>
          <w:szCs w:val="28"/>
        </w:rPr>
      </w:pPr>
    </w:p>
    <w:p w14:paraId="067B097F" w14:textId="77777777" w:rsidR="00B27B98" w:rsidRPr="00D01E92" w:rsidRDefault="00B27B98" w:rsidP="00C14292">
      <w:pPr>
        <w:jc w:val="both"/>
        <w:rPr>
          <w:rFonts w:ascii="Arial Narrow" w:hAnsi="Arial Narrow" w:cs="Arial"/>
          <w:sz w:val="28"/>
          <w:szCs w:val="28"/>
        </w:rPr>
      </w:pPr>
    </w:p>
    <w:p w14:paraId="60CE4935" w14:textId="77777777" w:rsidR="00C14292" w:rsidRPr="00D01E92" w:rsidRDefault="00C14292" w:rsidP="00C14292">
      <w:pPr>
        <w:jc w:val="center"/>
        <w:rPr>
          <w:rFonts w:ascii="Arial Narrow" w:hAnsi="Arial Narrow" w:cs="Arial"/>
          <w:b/>
          <w:bCs/>
          <w:sz w:val="28"/>
          <w:szCs w:val="28"/>
        </w:rPr>
      </w:pPr>
      <w:r w:rsidRPr="00D01E92">
        <w:rPr>
          <w:rFonts w:ascii="Arial Narrow" w:hAnsi="Arial Narrow" w:cs="Arial"/>
          <w:b/>
          <w:bCs/>
          <w:sz w:val="28"/>
          <w:szCs w:val="28"/>
        </w:rPr>
        <w:lastRenderedPageBreak/>
        <w:t>CONVENCIONES</w:t>
      </w:r>
    </w:p>
    <w:p w14:paraId="64DB5D0E" w14:textId="77777777" w:rsidR="00C14292" w:rsidRPr="00D01E92" w:rsidRDefault="00C14292" w:rsidP="00C14292">
      <w:pPr>
        <w:jc w:val="both"/>
        <w:rPr>
          <w:rFonts w:ascii="Arial Narrow" w:hAnsi="Arial Narrow" w:cs="Arial"/>
          <w:b/>
          <w:sz w:val="28"/>
          <w:szCs w:val="28"/>
        </w:rPr>
      </w:pPr>
    </w:p>
    <w:p w14:paraId="4E8DC404" w14:textId="77777777" w:rsidR="00C14292" w:rsidRPr="00D01E92" w:rsidRDefault="00C14292" w:rsidP="00C14292">
      <w:pPr>
        <w:jc w:val="both"/>
        <w:rPr>
          <w:rFonts w:ascii="Arial Narrow" w:hAnsi="Arial Narrow" w:cs="Arial"/>
          <w:b/>
          <w:sz w:val="28"/>
          <w:szCs w:val="28"/>
        </w:rPr>
      </w:pPr>
      <w:r w:rsidRPr="00D01E92">
        <w:rPr>
          <w:rFonts w:ascii="Arial Narrow" w:hAnsi="Arial Narrow" w:cs="Arial"/>
          <w:b/>
          <w:sz w:val="28"/>
          <w:szCs w:val="28"/>
        </w:rPr>
        <w:t>CONVENCIÓN INTERNACIONAL CONTRA EL DOPAJE EN EL DEPORTE. INCORPORADO AL ORDENAMIENTO JURÍDICO MEDIANTE LA LEY 1207 del 2008. Por medio de la cual se aprueba la "Convención Internacional contra el Dopaje en el Deporte", aprobada por la Conferencia General de la Organización de las Naciones Unidas para la Educación, la Ciencia y la Cultura, Unesco, en París, el 19 de octubre de 2005.</w:t>
      </w:r>
    </w:p>
    <w:p w14:paraId="2FA5B6CE" w14:textId="77777777" w:rsidR="00C14292" w:rsidRPr="00D01E92" w:rsidRDefault="00C14292" w:rsidP="00C14292">
      <w:pPr>
        <w:jc w:val="both"/>
        <w:rPr>
          <w:rFonts w:ascii="Arial Narrow" w:hAnsi="Arial Narrow" w:cs="Arial"/>
          <w:b/>
          <w:sz w:val="28"/>
          <w:szCs w:val="28"/>
        </w:rPr>
      </w:pPr>
    </w:p>
    <w:p w14:paraId="0362BF27" w14:textId="77777777" w:rsidR="00C14292" w:rsidRPr="00D01E92" w:rsidRDefault="00C14292" w:rsidP="00C14292">
      <w:pPr>
        <w:jc w:val="both"/>
        <w:rPr>
          <w:rFonts w:ascii="Arial Narrow" w:hAnsi="Arial Narrow" w:cs="Arial"/>
          <w:sz w:val="28"/>
          <w:szCs w:val="28"/>
        </w:rPr>
      </w:pPr>
      <w:r w:rsidRPr="00D01E92">
        <w:rPr>
          <w:rFonts w:ascii="Arial Narrow" w:hAnsi="Arial Narrow" w:cs="Arial"/>
          <w:b/>
          <w:sz w:val="28"/>
          <w:szCs w:val="28"/>
        </w:rPr>
        <w:t>ARTÍCULO 1. FINALIDAD DE LA CONVENCIÓN.</w:t>
      </w:r>
      <w:r w:rsidRPr="00D01E92">
        <w:rPr>
          <w:rFonts w:ascii="Arial Narrow" w:hAnsi="Arial Narrow" w:cs="Arial"/>
          <w:sz w:val="28"/>
          <w:szCs w:val="28"/>
        </w:rPr>
        <w:t xml:space="preserve"> La finalidad de la presente Convención, en el marco de la estrategia y el programa de actividades de la UNESCO en el ámbito de la educación física y el deporte, es promover la prevención del dopaje en el deporte y la lucha contra éste, con miras a su eliminación.</w:t>
      </w:r>
    </w:p>
    <w:p w14:paraId="7E4BE520" w14:textId="77777777" w:rsidR="00C14292" w:rsidRPr="00D01E92" w:rsidRDefault="00C14292" w:rsidP="00C14292">
      <w:pPr>
        <w:jc w:val="both"/>
        <w:rPr>
          <w:rFonts w:ascii="Arial Narrow" w:hAnsi="Arial Narrow" w:cs="Arial"/>
          <w:b/>
          <w:sz w:val="28"/>
          <w:szCs w:val="28"/>
        </w:rPr>
      </w:pPr>
    </w:p>
    <w:p w14:paraId="40A1F20A" w14:textId="77777777" w:rsidR="00C14292" w:rsidRPr="00D01E92" w:rsidRDefault="00C14292" w:rsidP="00C14292">
      <w:pPr>
        <w:jc w:val="both"/>
        <w:rPr>
          <w:rFonts w:ascii="Arial Narrow" w:hAnsi="Arial Narrow" w:cs="Arial"/>
          <w:sz w:val="28"/>
          <w:szCs w:val="28"/>
        </w:rPr>
      </w:pPr>
      <w:r w:rsidRPr="00D01E92">
        <w:rPr>
          <w:rFonts w:ascii="Arial Narrow" w:hAnsi="Arial Narrow" w:cs="Arial"/>
          <w:b/>
          <w:sz w:val="28"/>
          <w:szCs w:val="28"/>
        </w:rPr>
        <w:t>ARTÍCULO 3.</w:t>
      </w:r>
      <w:r w:rsidRPr="00D01E92">
        <w:rPr>
          <w:rFonts w:ascii="Arial Narrow" w:hAnsi="Arial Narrow" w:cs="Arial"/>
          <w:sz w:val="28"/>
          <w:szCs w:val="28"/>
        </w:rPr>
        <w:t xml:space="preserve"> Medidas encaminadas a la realización de los objetivos de la presente Convención.</w:t>
      </w:r>
    </w:p>
    <w:p w14:paraId="1FCF3563" w14:textId="77777777" w:rsidR="00C14292" w:rsidRPr="00D01E92" w:rsidRDefault="00C14292" w:rsidP="00C14292">
      <w:pPr>
        <w:jc w:val="both"/>
        <w:rPr>
          <w:rFonts w:ascii="Arial Narrow" w:hAnsi="Arial Narrow" w:cs="Arial"/>
          <w:sz w:val="28"/>
          <w:szCs w:val="28"/>
        </w:rPr>
      </w:pPr>
      <w:r w:rsidRPr="00D01E92">
        <w:rPr>
          <w:rFonts w:ascii="Arial Narrow" w:hAnsi="Arial Narrow" w:cs="Arial"/>
          <w:sz w:val="28"/>
          <w:szCs w:val="28"/>
        </w:rPr>
        <w:t>A fin de realizar los objetivos de la presente Convención, los Estados Parte deberán:</w:t>
      </w:r>
    </w:p>
    <w:p w14:paraId="6B3FE2F1" w14:textId="77777777" w:rsidR="00C14292" w:rsidRPr="00D01E92" w:rsidRDefault="00C14292" w:rsidP="00C14292">
      <w:pPr>
        <w:jc w:val="both"/>
        <w:rPr>
          <w:rFonts w:ascii="Arial Narrow" w:hAnsi="Arial Narrow" w:cs="Arial"/>
          <w:sz w:val="28"/>
          <w:szCs w:val="28"/>
        </w:rPr>
      </w:pPr>
      <w:r w:rsidRPr="00D01E92">
        <w:rPr>
          <w:rFonts w:ascii="Arial Narrow" w:hAnsi="Arial Narrow" w:cs="Arial"/>
          <w:sz w:val="28"/>
          <w:szCs w:val="28"/>
          <w:u w:val="single"/>
        </w:rPr>
        <w:t>a) adoptar medidas apropiadas, en el plano nacional e internacional, acordes con los principios del Código</w:t>
      </w:r>
      <w:r w:rsidRPr="00D01E92">
        <w:rPr>
          <w:rFonts w:ascii="Arial Narrow" w:hAnsi="Arial Narrow" w:cs="Arial"/>
          <w:sz w:val="28"/>
          <w:szCs w:val="28"/>
        </w:rPr>
        <w:t>;</w:t>
      </w:r>
    </w:p>
    <w:p w14:paraId="0CF21870" w14:textId="77777777" w:rsidR="00C14292" w:rsidRPr="00D01E92" w:rsidRDefault="00C14292" w:rsidP="00C14292">
      <w:pPr>
        <w:jc w:val="both"/>
        <w:rPr>
          <w:rFonts w:ascii="Arial Narrow" w:hAnsi="Arial Narrow" w:cs="Arial"/>
          <w:sz w:val="28"/>
          <w:szCs w:val="28"/>
        </w:rPr>
      </w:pPr>
      <w:r w:rsidRPr="00D01E92">
        <w:rPr>
          <w:rFonts w:ascii="Arial Narrow" w:hAnsi="Arial Narrow" w:cs="Arial"/>
          <w:sz w:val="28"/>
          <w:szCs w:val="28"/>
        </w:rPr>
        <w:t>b) Fomentar todas las formas de cooperación internacional encaminadas a la protección de los deportistas, la ética en el deporte y la difusión de los resultados de la investigación;</w:t>
      </w:r>
    </w:p>
    <w:p w14:paraId="3EA02EEB" w14:textId="77777777" w:rsidR="00C14292" w:rsidRPr="00D01E92" w:rsidRDefault="00C14292" w:rsidP="00C14292">
      <w:pPr>
        <w:jc w:val="both"/>
        <w:rPr>
          <w:rFonts w:ascii="Arial Narrow" w:hAnsi="Arial Narrow" w:cs="Arial"/>
          <w:sz w:val="28"/>
          <w:szCs w:val="28"/>
        </w:rPr>
      </w:pPr>
      <w:r w:rsidRPr="00D01E92">
        <w:rPr>
          <w:rFonts w:ascii="Arial Narrow" w:hAnsi="Arial Narrow" w:cs="Arial"/>
          <w:sz w:val="28"/>
          <w:szCs w:val="28"/>
        </w:rPr>
        <w:t xml:space="preserve">c) </w:t>
      </w:r>
      <w:r w:rsidRPr="00D01E92">
        <w:rPr>
          <w:rFonts w:ascii="Arial Narrow" w:hAnsi="Arial Narrow" w:cs="Arial"/>
          <w:sz w:val="28"/>
          <w:szCs w:val="28"/>
          <w:u w:val="single"/>
        </w:rPr>
        <w:t>Promover la cooperación internacional entre los Estados Parte y las principales organizaciones encargadas de la lucha contra el dopaje en el deporte</w:t>
      </w:r>
      <w:r w:rsidRPr="00D01E92">
        <w:rPr>
          <w:rFonts w:ascii="Arial Narrow" w:hAnsi="Arial Narrow" w:cs="Arial"/>
          <w:sz w:val="28"/>
          <w:szCs w:val="28"/>
        </w:rPr>
        <w:t>, en particular la Agencia Mundial Antidopaje.</w:t>
      </w:r>
    </w:p>
    <w:p w14:paraId="2234C9FC" w14:textId="77777777" w:rsidR="00C14292" w:rsidRPr="00D01E92" w:rsidRDefault="00C14292" w:rsidP="00C14292">
      <w:pPr>
        <w:jc w:val="both"/>
        <w:rPr>
          <w:rFonts w:ascii="Arial Narrow" w:hAnsi="Arial Narrow" w:cs="Arial"/>
          <w:b/>
          <w:sz w:val="28"/>
          <w:szCs w:val="28"/>
        </w:rPr>
      </w:pPr>
    </w:p>
    <w:p w14:paraId="5E358F81" w14:textId="77777777" w:rsidR="00C14292" w:rsidRPr="00D01E92" w:rsidRDefault="00C14292" w:rsidP="00C14292">
      <w:pPr>
        <w:jc w:val="both"/>
        <w:rPr>
          <w:rFonts w:ascii="Arial Narrow" w:hAnsi="Arial Narrow" w:cs="Arial"/>
          <w:b/>
          <w:sz w:val="28"/>
          <w:szCs w:val="28"/>
        </w:rPr>
      </w:pPr>
      <w:r w:rsidRPr="00D01E92">
        <w:rPr>
          <w:rFonts w:ascii="Arial Narrow" w:hAnsi="Arial Narrow" w:cs="Arial"/>
          <w:b/>
          <w:sz w:val="28"/>
          <w:szCs w:val="28"/>
        </w:rPr>
        <w:lastRenderedPageBreak/>
        <w:t>ARTÍCULO 8. Restringir la disponibilidad y la utilización en el deporte de sustancias y métodos prohibidos</w:t>
      </w:r>
    </w:p>
    <w:p w14:paraId="47CF223A" w14:textId="77777777" w:rsidR="00C14292" w:rsidRPr="00D01E92" w:rsidRDefault="00C14292" w:rsidP="00C14292">
      <w:pPr>
        <w:jc w:val="both"/>
        <w:rPr>
          <w:rFonts w:ascii="Arial Narrow" w:hAnsi="Arial Narrow" w:cs="Arial"/>
          <w:sz w:val="28"/>
          <w:szCs w:val="28"/>
        </w:rPr>
      </w:pPr>
      <w:r w:rsidRPr="00D01E92">
        <w:rPr>
          <w:rFonts w:ascii="Arial Narrow" w:hAnsi="Arial Narrow" w:cs="Arial"/>
          <w:sz w:val="28"/>
          <w:szCs w:val="28"/>
        </w:rPr>
        <w:t xml:space="preserve">1. </w:t>
      </w:r>
      <w:r w:rsidRPr="00D01E92">
        <w:rPr>
          <w:rFonts w:ascii="Arial Narrow" w:hAnsi="Arial Narrow" w:cs="Arial"/>
          <w:sz w:val="28"/>
          <w:szCs w:val="28"/>
          <w:u w:val="single"/>
        </w:rPr>
        <w:t>Los Estados Parte deberán adoptar, cuando proceda, medidas encaminadas a restringir la disponibilidad de sustancias y métodos prohibidos, a fin de limitar su utilización en el deporte por los deportistas,</w:t>
      </w:r>
      <w:r w:rsidRPr="00D01E92">
        <w:rPr>
          <w:rFonts w:ascii="Arial Narrow" w:hAnsi="Arial Narrow" w:cs="Arial"/>
          <w:sz w:val="28"/>
          <w:szCs w:val="28"/>
        </w:rPr>
        <w:t xml:space="preserve"> a menos que su utilización se base en una exención para uso con fines terapéuticos. Lo anterior comprende medidas para luchar contra el tráfico destinado a los deportistas y, con tal fin, medidas para controlar la producción, el transporte, la importación, la distribución y la venta.</w:t>
      </w:r>
    </w:p>
    <w:p w14:paraId="7060E728" w14:textId="77777777" w:rsidR="00C14292" w:rsidRPr="00D01E92" w:rsidRDefault="00C14292" w:rsidP="00C14292">
      <w:pPr>
        <w:jc w:val="both"/>
        <w:rPr>
          <w:rFonts w:ascii="Arial Narrow" w:hAnsi="Arial Narrow" w:cs="Arial"/>
          <w:sz w:val="28"/>
          <w:szCs w:val="28"/>
        </w:rPr>
      </w:pPr>
      <w:r w:rsidRPr="00D01E92">
        <w:rPr>
          <w:rFonts w:ascii="Arial Narrow" w:hAnsi="Arial Narrow" w:cs="Arial"/>
          <w:sz w:val="28"/>
          <w:szCs w:val="28"/>
        </w:rPr>
        <w:t xml:space="preserve">2. </w:t>
      </w:r>
      <w:r w:rsidRPr="00D01E92">
        <w:rPr>
          <w:rFonts w:ascii="Arial Narrow" w:hAnsi="Arial Narrow" w:cs="Arial"/>
          <w:sz w:val="28"/>
          <w:szCs w:val="28"/>
          <w:u w:val="single"/>
        </w:rPr>
        <w:t>Los Estados Parte deberán adoptar, o instar a adoptar, si procede, a las entidades competentes de su jurisdicción</w:t>
      </w:r>
      <w:r w:rsidRPr="00D01E92">
        <w:rPr>
          <w:rFonts w:ascii="Arial Narrow" w:hAnsi="Arial Narrow" w:cs="Arial"/>
          <w:sz w:val="28"/>
          <w:szCs w:val="28"/>
        </w:rPr>
        <w:t>, medidas encaminadas a impedir o limitar el uso y posesión por los deportistas de sustancias y métodos prohibidos, a menos que su utilización se base en una exención para uso con fines terapéuticos.</w:t>
      </w:r>
    </w:p>
    <w:p w14:paraId="5090CC70" w14:textId="77777777" w:rsidR="00C14292" w:rsidRPr="00D01E92" w:rsidRDefault="00C14292" w:rsidP="00C14292">
      <w:pPr>
        <w:jc w:val="both"/>
        <w:rPr>
          <w:rFonts w:ascii="Arial Narrow" w:hAnsi="Arial Narrow" w:cs="Arial"/>
          <w:sz w:val="28"/>
          <w:szCs w:val="28"/>
        </w:rPr>
      </w:pPr>
      <w:r w:rsidRPr="00D01E92">
        <w:rPr>
          <w:rFonts w:ascii="Arial Narrow" w:hAnsi="Arial Narrow" w:cs="Arial"/>
          <w:sz w:val="28"/>
          <w:szCs w:val="28"/>
        </w:rPr>
        <w:t xml:space="preserve">3. </w:t>
      </w:r>
      <w:r w:rsidRPr="00D01E92">
        <w:rPr>
          <w:rFonts w:ascii="Arial Narrow" w:hAnsi="Arial Narrow" w:cs="Arial"/>
          <w:sz w:val="28"/>
          <w:szCs w:val="28"/>
          <w:u w:val="single"/>
        </w:rPr>
        <w:t>Ninguna medida adoptada en cumplimiento de la presente Convención impedirá que se disponga, para usos legítimos, de sustancias y métodos que de otra forma están prohibidos o sometidos a control en el deporte.</w:t>
      </w:r>
    </w:p>
    <w:p w14:paraId="5DFFB589" w14:textId="77777777" w:rsidR="00C14292" w:rsidRPr="00D01E92" w:rsidRDefault="00C14292" w:rsidP="00C14292">
      <w:pPr>
        <w:jc w:val="both"/>
        <w:rPr>
          <w:rFonts w:ascii="Arial Narrow" w:hAnsi="Arial Narrow" w:cs="Arial"/>
          <w:b/>
          <w:sz w:val="28"/>
          <w:szCs w:val="28"/>
        </w:rPr>
      </w:pPr>
    </w:p>
    <w:p w14:paraId="35E4223C" w14:textId="77777777" w:rsidR="00C14292" w:rsidRPr="00D01E92" w:rsidRDefault="00C14292" w:rsidP="00C14292">
      <w:pPr>
        <w:jc w:val="both"/>
        <w:rPr>
          <w:rFonts w:ascii="Arial Narrow" w:hAnsi="Arial Narrow" w:cs="Arial"/>
          <w:b/>
          <w:sz w:val="28"/>
          <w:szCs w:val="28"/>
        </w:rPr>
      </w:pPr>
      <w:r w:rsidRPr="00D01E92">
        <w:rPr>
          <w:rFonts w:ascii="Arial Narrow" w:hAnsi="Arial Narrow" w:cs="Arial"/>
          <w:b/>
          <w:sz w:val="28"/>
          <w:szCs w:val="28"/>
        </w:rPr>
        <w:t>ARTÍCULO 24. Fomento de la investigación en materia de lucha contra el dopaje</w:t>
      </w:r>
    </w:p>
    <w:p w14:paraId="0C022CFE" w14:textId="77777777" w:rsidR="00C14292" w:rsidRPr="00D01E92" w:rsidRDefault="00C14292" w:rsidP="00C14292">
      <w:pPr>
        <w:jc w:val="both"/>
        <w:rPr>
          <w:rFonts w:ascii="Arial Narrow" w:hAnsi="Arial Narrow" w:cs="Arial"/>
          <w:sz w:val="28"/>
          <w:szCs w:val="28"/>
        </w:rPr>
      </w:pPr>
      <w:r w:rsidRPr="00D01E92">
        <w:rPr>
          <w:rFonts w:ascii="Arial Narrow" w:hAnsi="Arial Narrow" w:cs="Arial"/>
          <w:sz w:val="28"/>
          <w:szCs w:val="28"/>
          <w:u w:val="single"/>
        </w:rPr>
        <w:t>Los Estados Parte alentarán y fomentarán, con arreglo a sus recursos, la investigación en materia de lucha contra el dopaje</w:t>
      </w:r>
      <w:r w:rsidRPr="00D01E92">
        <w:rPr>
          <w:rFonts w:ascii="Arial Narrow" w:hAnsi="Arial Narrow" w:cs="Arial"/>
          <w:sz w:val="28"/>
          <w:szCs w:val="28"/>
        </w:rPr>
        <w:t xml:space="preserve"> en cooperación con organizaciones deportivas y otras organizaciones competentes, sobre:</w:t>
      </w:r>
    </w:p>
    <w:p w14:paraId="4A84D3E8" w14:textId="77777777" w:rsidR="00C14292" w:rsidRPr="00D01E92" w:rsidRDefault="00C14292" w:rsidP="00C14292">
      <w:pPr>
        <w:jc w:val="both"/>
        <w:rPr>
          <w:rFonts w:ascii="Arial Narrow" w:hAnsi="Arial Narrow" w:cs="Arial"/>
          <w:sz w:val="28"/>
          <w:szCs w:val="28"/>
        </w:rPr>
      </w:pPr>
      <w:r w:rsidRPr="00D01E92">
        <w:rPr>
          <w:rFonts w:ascii="Arial Narrow" w:hAnsi="Arial Narrow" w:cs="Arial"/>
          <w:sz w:val="28"/>
          <w:szCs w:val="28"/>
        </w:rPr>
        <w:t xml:space="preserve">a) </w:t>
      </w:r>
      <w:r w:rsidRPr="00D01E92">
        <w:rPr>
          <w:rFonts w:ascii="Arial Narrow" w:hAnsi="Arial Narrow" w:cs="Arial"/>
          <w:sz w:val="28"/>
          <w:szCs w:val="28"/>
          <w:u w:val="single"/>
        </w:rPr>
        <w:t>Prevención y métodos de detección del dopaje</w:t>
      </w:r>
      <w:r w:rsidRPr="00D01E92">
        <w:rPr>
          <w:rFonts w:ascii="Arial Narrow" w:hAnsi="Arial Narrow" w:cs="Arial"/>
          <w:sz w:val="28"/>
          <w:szCs w:val="28"/>
        </w:rPr>
        <w:t>, así como aspectos de conducta y sociales del dopaje y consecuencias para la salud;</w:t>
      </w:r>
    </w:p>
    <w:p w14:paraId="64C237A2" w14:textId="77777777" w:rsidR="00C14292" w:rsidRPr="00D01E92" w:rsidRDefault="00C14292" w:rsidP="00C14292">
      <w:pPr>
        <w:jc w:val="both"/>
        <w:rPr>
          <w:rFonts w:ascii="Arial Narrow" w:hAnsi="Arial Narrow" w:cs="Arial"/>
          <w:sz w:val="28"/>
          <w:szCs w:val="28"/>
        </w:rPr>
      </w:pPr>
      <w:r w:rsidRPr="00D01E92">
        <w:rPr>
          <w:rFonts w:ascii="Arial Narrow" w:hAnsi="Arial Narrow" w:cs="Arial"/>
          <w:sz w:val="28"/>
          <w:szCs w:val="28"/>
        </w:rPr>
        <w:t xml:space="preserve">b) </w:t>
      </w:r>
      <w:r w:rsidRPr="00D01E92">
        <w:rPr>
          <w:rFonts w:ascii="Arial Narrow" w:hAnsi="Arial Narrow" w:cs="Arial"/>
          <w:sz w:val="28"/>
          <w:szCs w:val="28"/>
          <w:u w:val="single"/>
        </w:rPr>
        <w:t>Los medios de diseñar programas con base científica de formación en fisiología y psicología que respeten la integridad de la persona</w:t>
      </w:r>
      <w:r w:rsidRPr="00D01E92">
        <w:rPr>
          <w:rFonts w:ascii="Arial Narrow" w:hAnsi="Arial Narrow" w:cs="Arial"/>
          <w:sz w:val="28"/>
          <w:szCs w:val="28"/>
        </w:rPr>
        <w:t>;</w:t>
      </w:r>
    </w:p>
    <w:p w14:paraId="09DD1F37" w14:textId="77777777" w:rsidR="00C14292" w:rsidRPr="00D01E92" w:rsidRDefault="00C14292" w:rsidP="00C14292">
      <w:pPr>
        <w:jc w:val="both"/>
        <w:rPr>
          <w:rFonts w:ascii="Arial Narrow" w:hAnsi="Arial Narrow" w:cs="Arial"/>
          <w:sz w:val="28"/>
          <w:szCs w:val="28"/>
          <w:u w:val="single"/>
        </w:rPr>
      </w:pPr>
      <w:r w:rsidRPr="00D01E92">
        <w:rPr>
          <w:rFonts w:ascii="Arial Narrow" w:hAnsi="Arial Narrow" w:cs="Arial"/>
          <w:sz w:val="28"/>
          <w:szCs w:val="28"/>
        </w:rPr>
        <w:t xml:space="preserve">c) </w:t>
      </w:r>
      <w:r w:rsidRPr="00D01E92">
        <w:rPr>
          <w:rFonts w:ascii="Arial Narrow" w:hAnsi="Arial Narrow" w:cs="Arial"/>
          <w:sz w:val="28"/>
          <w:szCs w:val="28"/>
          <w:u w:val="single"/>
        </w:rPr>
        <w:t>La utilización de todos los métodos y sustancias recientes establecidos con arreglo a los últimos adelantos científicos.</w:t>
      </w:r>
    </w:p>
    <w:p w14:paraId="030340E6" w14:textId="77777777" w:rsidR="00C14292" w:rsidRPr="00D01E92" w:rsidRDefault="00C14292" w:rsidP="00C14292">
      <w:pPr>
        <w:jc w:val="both"/>
        <w:rPr>
          <w:rFonts w:ascii="Arial Narrow" w:hAnsi="Arial Narrow" w:cs="Arial"/>
          <w:b/>
          <w:sz w:val="28"/>
          <w:szCs w:val="28"/>
        </w:rPr>
      </w:pPr>
    </w:p>
    <w:p w14:paraId="7F06C796" w14:textId="39280ED9" w:rsidR="00C14292" w:rsidRPr="00D01E92" w:rsidRDefault="00C14292" w:rsidP="00B27B98">
      <w:pPr>
        <w:jc w:val="center"/>
        <w:rPr>
          <w:rFonts w:ascii="Arial Narrow" w:hAnsi="Arial Narrow" w:cs="Arial"/>
          <w:b/>
          <w:sz w:val="28"/>
          <w:szCs w:val="28"/>
        </w:rPr>
      </w:pPr>
      <w:r w:rsidRPr="00D01E92">
        <w:rPr>
          <w:rFonts w:ascii="Arial Narrow" w:hAnsi="Arial Narrow" w:cs="Arial"/>
          <w:b/>
          <w:sz w:val="28"/>
          <w:szCs w:val="28"/>
        </w:rPr>
        <w:lastRenderedPageBreak/>
        <w:t>MARCO JURISPRUDENCIAL</w:t>
      </w:r>
    </w:p>
    <w:p w14:paraId="4223C28C" w14:textId="77777777" w:rsidR="00C14292" w:rsidRPr="00D01E92" w:rsidRDefault="00C14292" w:rsidP="00C14292">
      <w:pPr>
        <w:jc w:val="both"/>
        <w:rPr>
          <w:rFonts w:ascii="Arial Narrow" w:hAnsi="Arial Narrow" w:cs="Arial"/>
          <w:b/>
          <w:sz w:val="28"/>
          <w:szCs w:val="28"/>
        </w:rPr>
      </w:pPr>
      <w:r w:rsidRPr="00D01E92">
        <w:rPr>
          <w:rFonts w:ascii="Arial Narrow" w:hAnsi="Arial Narrow" w:cs="Arial"/>
          <w:b/>
          <w:sz w:val="28"/>
          <w:szCs w:val="28"/>
        </w:rPr>
        <w:t xml:space="preserve">Sentencia C-376/09. M.P. GABRIEL EDUARDO MENDOZA MARTELO. </w:t>
      </w:r>
      <w:r w:rsidRPr="00D01E92">
        <w:rPr>
          <w:rFonts w:ascii="Arial Narrow" w:hAnsi="Arial Narrow" w:cs="Arial"/>
          <w:sz w:val="28"/>
          <w:szCs w:val="28"/>
        </w:rPr>
        <w:t xml:space="preserve"> </w:t>
      </w:r>
      <w:r w:rsidRPr="00D01E92">
        <w:rPr>
          <w:rFonts w:ascii="Arial Narrow" w:hAnsi="Arial Narrow" w:cs="Arial"/>
          <w:b/>
          <w:sz w:val="28"/>
          <w:szCs w:val="28"/>
        </w:rPr>
        <w:t>Revisión de constitucionalidad de la ley 1207 de 2008.</w:t>
      </w:r>
    </w:p>
    <w:p w14:paraId="70EB54D7" w14:textId="77777777" w:rsidR="00C14292" w:rsidRPr="00D01E92" w:rsidRDefault="00C14292" w:rsidP="00C14292">
      <w:pPr>
        <w:jc w:val="both"/>
        <w:rPr>
          <w:rFonts w:ascii="Arial Narrow" w:hAnsi="Arial Narrow" w:cs="Arial"/>
          <w:sz w:val="28"/>
          <w:szCs w:val="28"/>
        </w:rPr>
      </w:pPr>
    </w:p>
    <w:p w14:paraId="0F22B019" w14:textId="77777777" w:rsidR="00C14292" w:rsidRPr="00D01E92" w:rsidRDefault="00C14292" w:rsidP="00C14292">
      <w:pPr>
        <w:jc w:val="both"/>
        <w:rPr>
          <w:rFonts w:ascii="Arial Narrow" w:hAnsi="Arial Narrow" w:cs="Arial"/>
          <w:sz w:val="28"/>
          <w:szCs w:val="28"/>
        </w:rPr>
      </w:pPr>
      <w:r w:rsidRPr="00D01E92">
        <w:rPr>
          <w:rFonts w:ascii="Arial Narrow" w:hAnsi="Arial Narrow" w:cs="Arial"/>
          <w:sz w:val="28"/>
          <w:szCs w:val="28"/>
        </w:rPr>
        <w:t xml:space="preserve">Sobre el contenido de la convención, su teleología y repercusión en el desarrollo deportivo nacional, la corte dijo: </w:t>
      </w:r>
    </w:p>
    <w:p w14:paraId="40CA6974" w14:textId="77777777" w:rsidR="00C14292" w:rsidRPr="00D01E92" w:rsidRDefault="00C14292" w:rsidP="00C14292">
      <w:pPr>
        <w:ind w:left="283"/>
        <w:jc w:val="both"/>
        <w:rPr>
          <w:rFonts w:ascii="Arial Narrow" w:hAnsi="Arial Narrow" w:cs="Arial"/>
          <w:i/>
          <w:sz w:val="28"/>
          <w:szCs w:val="28"/>
        </w:rPr>
      </w:pPr>
      <w:r w:rsidRPr="00D01E92">
        <w:rPr>
          <w:rFonts w:ascii="Arial Narrow" w:hAnsi="Arial Narrow" w:cs="Arial"/>
          <w:i/>
          <w:sz w:val="28"/>
          <w:szCs w:val="28"/>
        </w:rPr>
        <w:t>“(…) La dimensión social del deporte incide en su definición y en la disciplina aplicable tanto a las actividades que constituyen deporte, como a quienes las practican. Ciertamente el deporte es actividad, pero actividad que en buena parte de los casos se ejerce en un contexto de competición que exige la previsión de las reglas del juego en cuanto tal y de aquellas a las que han de someterse los jugadores o practicantes de la actividad deportiva.</w:t>
      </w:r>
    </w:p>
    <w:p w14:paraId="303C4DB9" w14:textId="77777777" w:rsidR="00C14292" w:rsidRPr="00D01E92" w:rsidRDefault="00C14292" w:rsidP="00C14292">
      <w:pPr>
        <w:ind w:left="283"/>
        <w:jc w:val="both"/>
        <w:rPr>
          <w:rFonts w:ascii="Arial Narrow" w:hAnsi="Arial Narrow" w:cs="Arial"/>
          <w:i/>
          <w:sz w:val="28"/>
          <w:szCs w:val="28"/>
        </w:rPr>
      </w:pPr>
      <w:r w:rsidRPr="00D01E92">
        <w:rPr>
          <w:rFonts w:ascii="Arial Narrow" w:hAnsi="Arial Narrow" w:cs="Arial"/>
          <w:i/>
          <w:sz w:val="28"/>
          <w:szCs w:val="28"/>
        </w:rPr>
        <w:t>Según lo ha destacado la Corte, uno de los más importantes elementos que integran la noción de deporte “es la necesidad de que su ejercicio se sujete a disciplinas y normas”, dado que la disciplina deportiva y las reglas del juego le confieren “una identidad propia y permiten distinguirlo de prácticas en las que impera la liberalidad, el capricho o el querer personal no sometido a pautas de obligatoria observancia”</w:t>
      </w:r>
    </w:p>
    <w:p w14:paraId="147E9018" w14:textId="77777777" w:rsidR="00C14292" w:rsidRPr="00D01E92" w:rsidRDefault="00C14292" w:rsidP="00C14292">
      <w:pPr>
        <w:ind w:left="283"/>
        <w:jc w:val="both"/>
        <w:rPr>
          <w:rFonts w:ascii="Arial Narrow" w:hAnsi="Arial Narrow" w:cs="Arial"/>
          <w:i/>
          <w:sz w:val="28"/>
          <w:szCs w:val="28"/>
        </w:rPr>
      </w:pPr>
      <w:r w:rsidRPr="00D01E92">
        <w:rPr>
          <w:rFonts w:ascii="Arial Narrow" w:hAnsi="Arial Narrow" w:cs="Arial"/>
          <w:i/>
          <w:sz w:val="28"/>
          <w:szCs w:val="28"/>
        </w:rPr>
        <w:t>La Corte ha señalado que, tratándose del deporte, “se imponen como en cualquier orden unos límites determinados y unas reglas del juego”, pues “a través del juego las personas no sólo recrean un orden, sino que aprenden a moverse en ese orden, a adaptarse a él y respetar sus reglas”, a tal grado que “la disciplina deportiva reclama el cumplimiento riguroso de las reglas del juego y de una conducta irreprochable”, cuya transgresión “acarrea sanciones”(…)”</w:t>
      </w:r>
    </w:p>
    <w:p w14:paraId="566AB30C" w14:textId="24EF301B" w:rsidR="00C14292" w:rsidRDefault="00C14292" w:rsidP="00C14292">
      <w:pPr>
        <w:jc w:val="both"/>
        <w:rPr>
          <w:rFonts w:ascii="Arial Narrow" w:hAnsi="Arial Narrow" w:cs="Arial"/>
          <w:b/>
          <w:sz w:val="28"/>
          <w:szCs w:val="28"/>
        </w:rPr>
      </w:pPr>
    </w:p>
    <w:p w14:paraId="07154B9C" w14:textId="280393FA" w:rsidR="002A456C" w:rsidRDefault="002A456C" w:rsidP="00C14292">
      <w:pPr>
        <w:jc w:val="both"/>
        <w:rPr>
          <w:rFonts w:ascii="Arial Narrow" w:hAnsi="Arial Narrow" w:cs="Arial"/>
          <w:b/>
          <w:sz w:val="28"/>
          <w:szCs w:val="28"/>
        </w:rPr>
      </w:pPr>
    </w:p>
    <w:p w14:paraId="2C509C50" w14:textId="4A2BF9D2" w:rsidR="002A456C" w:rsidRDefault="002A456C" w:rsidP="00C14292">
      <w:pPr>
        <w:jc w:val="both"/>
        <w:rPr>
          <w:rFonts w:ascii="Arial Narrow" w:hAnsi="Arial Narrow" w:cs="Arial"/>
          <w:b/>
          <w:sz w:val="28"/>
          <w:szCs w:val="28"/>
        </w:rPr>
      </w:pPr>
    </w:p>
    <w:p w14:paraId="141BCD0D" w14:textId="77777777" w:rsidR="002A456C" w:rsidRPr="00D01E92" w:rsidRDefault="002A456C" w:rsidP="00C14292">
      <w:pPr>
        <w:jc w:val="both"/>
        <w:rPr>
          <w:rFonts w:ascii="Arial Narrow" w:hAnsi="Arial Narrow" w:cs="Arial"/>
          <w:b/>
          <w:sz w:val="28"/>
          <w:szCs w:val="28"/>
        </w:rPr>
      </w:pPr>
    </w:p>
    <w:p w14:paraId="5663B464" w14:textId="77777777" w:rsidR="00C14292" w:rsidRPr="00D01E92" w:rsidRDefault="00C14292" w:rsidP="00C14292">
      <w:pPr>
        <w:jc w:val="center"/>
        <w:rPr>
          <w:rFonts w:ascii="Arial Narrow" w:hAnsi="Arial Narrow" w:cs="Arial"/>
          <w:b/>
          <w:i/>
          <w:sz w:val="28"/>
          <w:szCs w:val="28"/>
        </w:rPr>
      </w:pPr>
      <w:r w:rsidRPr="00D01E92">
        <w:rPr>
          <w:rFonts w:ascii="Arial Narrow" w:hAnsi="Arial Narrow" w:cs="Arial"/>
          <w:b/>
          <w:sz w:val="28"/>
          <w:szCs w:val="28"/>
        </w:rPr>
        <w:lastRenderedPageBreak/>
        <w:t xml:space="preserve">SUSTANCIAS Y MÉTODOS PROHIBIDOS SEGÚN LA WADA </w:t>
      </w:r>
      <w:r w:rsidRPr="00D01E92">
        <w:rPr>
          <w:rFonts w:ascii="Arial Narrow" w:hAnsi="Arial Narrow" w:cs="Arial"/>
          <w:b/>
          <w:i/>
          <w:sz w:val="28"/>
          <w:szCs w:val="28"/>
        </w:rPr>
        <w:t>(World Anti Doping Agency)</w:t>
      </w:r>
    </w:p>
    <w:p w14:paraId="4A0C42C9" w14:textId="77777777" w:rsidR="00C14292" w:rsidRPr="00D01E92" w:rsidRDefault="00C14292" w:rsidP="00C14292">
      <w:pPr>
        <w:jc w:val="center"/>
        <w:rPr>
          <w:rFonts w:ascii="Arial Narrow" w:hAnsi="Arial Narrow" w:cs="Arial"/>
          <w:i/>
          <w:sz w:val="28"/>
          <w:szCs w:val="28"/>
        </w:rPr>
      </w:pPr>
    </w:p>
    <w:p w14:paraId="536AE66B" w14:textId="77777777" w:rsidR="00C14292" w:rsidRPr="00D01E92" w:rsidRDefault="00C14292" w:rsidP="00C14292">
      <w:pPr>
        <w:jc w:val="both"/>
        <w:rPr>
          <w:rFonts w:ascii="Arial Narrow" w:hAnsi="Arial Narrow" w:cs="Arial"/>
          <w:sz w:val="28"/>
          <w:szCs w:val="28"/>
        </w:rPr>
      </w:pPr>
      <w:r w:rsidRPr="00D01E92">
        <w:rPr>
          <w:rFonts w:ascii="Arial Narrow" w:hAnsi="Arial Narrow" w:cs="Arial"/>
          <w:sz w:val="28"/>
          <w:szCs w:val="28"/>
        </w:rPr>
        <w:t>La agencia mundial contra el doping es una entidad independiente que nace en 1999 luego del tour de Francia de 1998, cuando los tres primeros ciclistas fueron descubiertos usando sustancias prohibidas.</w:t>
      </w:r>
    </w:p>
    <w:p w14:paraId="47168910" w14:textId="77777777" w:rsidR="00C14292" w:rsidRPr="00D01E92" w:rsidRDefault="00C14292" w:rsidP="00C14292">
      <w:pPr>
        <w:jc w:val="both"/>
        <w:rPr>
          <w:rFonts w:ascii="Arial Narrow" w:hAnsi="Arial Narrow" w:cs="Arial"/>
          <w:sz w:val="28"/>
          <w:szCs w:val="28"/>
        </w:rPr>
      </w:pPr>
      <w:r w:rsidRPr="00D01E92">
        <w:rPr>
          <w:rFonts w:ascii="Arial Narrow" w:hAnsi="Arial Narrow" w:cs="Arial"/>
          <w:sz w:val="28"/>
          <w:szCs w:val="28"/>
        </w:rPr>
        <w:t>WADA tiene la responsabilidad de anualmente discriminar las sustancias y métodos prohibidos en el deporte.</w:t>
      </w:r>
    </w:p>
    <w:p w14:paraId="4694FDC2" w14:textId="77777777" w:rsidR="00C14292" w:rsidRPr="00D01E92" w:rsidRDefault="00C14292" w:rsidP="00C14292">
      <w:pPr>
        <w:jc w:val="both"/>
        <w:rPr>
          <w:rFonts w:ascii="Arial Narrow" w:hAnsi="Arial Narrow" w:cs="Arial"/>
          <w:sz w:val="28"/>
          <w:szCs w:val="28"/>
        </w:rPr>
      </w:pPr>
    </w:p>
    <w:p w14:paraId="5CD7D83D" w14:textId="77777777" w:rsidR="00C14292" w:rsidRPr="00D01E92" w:rsidRDefault="00C14292" w:rsidP="00C14292">
      <w:pPr>
        <w:jc w:val="both"/>
        <w:rPr>
          <w:rFonts w:ascii="Arial Narrow" w:hAnsi="Arial Narrow" w:cs="Arial"/>
          <w:sz w:val="28"/>
          <w:szCs w:val="28"/>
        </w:rPr>
      </w:pPr>
      <w:r w:rsidRPr="00D01E92">
        <w:rPr>
          <w:rFonts w:ascii="Arial Narrow" w:hAnsi="Arial Narrow" w:cs="Arial"/>
          <w:sz w:val="28"/>
          <w:szCs w:val="28"/>
        </w:rPr>
        <w:t>Estos parámetros se dividen en tres:</w:t>
      </w:r>
    </w:p>
    <w:p w14:paraId="5F8F710D" w14:textId="77777777" w:rsidR="00C14292" w:rsidRPr="00D01E92" w:rsidRDefault="00C14292" w:rsidP="00C14292">
      <w:pPr>
        <w:pStyle w:val="Prrafodelista"/>
        <w:numPr>
          <w:ilvl w:val="0"/>
          <w:numId w:val="13"/>
        </w:numPr>
        <w:spacing w:after="160" w:line="259" w:lineRule="auto"/>
        <w:ind w:left="360"/>
        <w:jc w:val="both"/>
        <w:rPr>
          <w:rFonts w:ascii="Arial Narrow" w:hAnsi="Arial Narrow" w:cs="Arial"/>
          <w:b/>
          <w:sz w:val="28"/>
          <w:szCs w:val="28"/>
        </w:rPr>
      </w:pPr>
      <w:r w:rsidRPr="00D01E92">
        <w:rPr>
          <w:rFonts w:ascii="Arial Narrow" w:hAnsi="Arial Narrow" w:cs="Arial"/>
          <w:b/>
          <w:sz w:val="28"/>
          <w:szCs w:val="28"/>
        </w:rPr>
        <w:t>Sustancias y métodos prohibidos siempre:</w:t>
      </w:r>
    </w:p>
    <w:p w14:paraId="1CF0F836" w14:textId="77777777" w:rsidR="00C14292" w:rsidRPr="00D01E92" w:rsidRDefault="00C14292" w:rsidP="00C14292">
      <w:pPr>
        <w:pStyle w:val="Prrafodelista"/>
        <w:numPr>
          <w:ilvl w:val="0"/>
          <w:numId w:val="14"/>
        </w:numPr>
        <w:spacing w:after="160" w:line="259" w:lineRule="auto"/>
        <w:jc w:val="both"/>
        <w:rPr>
          <w:rFonts w:ascii="Arial Narrow" w:hAnsi="Arial Narrow" w:cs="Arial"/>
          <w:b/>
          <w:sz w:val="28"/>
          <w:szCs w:val="28"/>
        </w:rPr>
      </w:pPr>
      <w:r w:rsidRPr="00D01E92">
        <w:rPr>
          <w:rFonts w:ascii="Arial Narrow" w:hAnsi="Arial Narrow" w:cs="Arial"/>
          <w:b/>
          <w:sz w:val="28"/>
          <w:szCs w:val="28"/>
        </w:rPr>
        <w:t>SUSTANCIAS</w:t>
      </w:r>
    </w:p>
    <w:p w14:paraId="636EE617" w14:textId="77777777" w:rsidR="00C14292" w:rsidRPr="00D01E92" w:rsidRDefault="00C14292" w:rsidP="00C14292">
      <w:pPr>
        <w:pStyle w:val="Prrafodelista"/>
        <w:ind w:left="780"/>
        <w:jc w:val="both"/>
        <w:rPr>
          <w:rFonts w:ascii="Arial Narrow" w:hAnsi="Arial Narrow" w:cs="Arial"/>
          <w:sz w:val="28"/>
          <w:szCs w:val="28"/>
        </w:rPr>
      </w:pPr>
    </w:p>
    <w:p w14:paraId="307DDC38" w14:textId="77777777" w:rsidR="00C14292" w:rsidRPr="00D01E92" w:rsidRDefault="00C14292" w:rsidP="00C14292">
      <w:pPr>
        <w:pStyle w:val="Prrafodelista"/>
        <w:numPr>
          <w:ilvl w:val="0"/>
          <w:numId w:val="15"/>
        </w:numPr>
        <w:spacing w:after="160" w:line="259" w:lineRule="auto"/>
        <w:ind w:left="757"/>
        <w:jc w:val="both"/>
        <w:rPr>
          <w:rFonts w:ascii="Arial Narrow" w:hAnsi="Arial Narrow" w:cs="Arial"/>
          <w:b/>
          <w:sz w:val="28"/>
          <w:szCs w:val="28"/>
        </w:rPr>
      </w:pPr>
      <w:r w:rsidRPr="00D01E92">
        <w:rPr>
          <w:rFonts w:ascii="Arial Narrow" w:hAnsi="Arial Narrow" w:cs="Arial"/>
          <w:b/>
          <w:sz w:val="28"/>
          <w:szCs w:val="28"/>
        </w:rPr>
        <w:t>AGENTES ANABOLIZANTES</w:t>
      </w:r>
    </w:p>
    <w:p w14:paraId="67761E58" w14:textId="77777777" w:rsidR="00C14292" w:rsidRPr="00D01E92" w:rsidRDefault="00C14292" w:rsidP="00C14292">
      <w:pPr>
        <w:pStyle w:val="Prrafodelista"/>
        <w:ind w:left="757"/>
        <w:jc w:val="both"/>
        <w:rPr>
          <w:rFonts w:ascii="Arial Narrow" w:hAnsi="Arial Narrow" w:cs="Arial"/>
          <w:b/>
          <w:sz w:val="28"/>
          <w:szCs w:val="28"/>
        </w:rPr>
      </w:pPr>
    </w:p>
    <w:p w14:paraId="3976F32E" w14:textId="77777777" w:rsidR="00C14292" w:rsidRPr="00D01E92" w:rsidRDefault="00C14292" w:rsidP="00C14292">
      <w:pPr>
        <w:pStyle w:val="Prrafodelista"/>
        <w:numPr>
          <w:ilvl w:val="0"/>
          <w:numId w:val="16"/>
        </w:numPr>
        <w:spacing w:after="160" w:line="259" w:lineRule="auto"/>
        <w:ind w:left="757"/>
        <w:jc w:val="both"/>
        <w:rPr>
          <w:rFonts w:ascii="Arial Narrow" w:hAnsi="Arial Narrow" w:cs="Arial"/>
          <w:sz w:val="28"/>
          <w:szCs w:val="28"/>
        </w:rPr>
      </w:pPr>
      <w:r w:rsidRPr="00D01E92">
        <w:rPr>
          <w:rFonts w:ascii="Arial Narrow" w:hAnsi="Arial Narrow" w:cs="Arial"/>
          <w:b/>
          <w:sz w:val="28"/>
          <w:szCs w:val="28"/>
        </w:rPr>
        <w:t>EAA EXÓGENOS.</w:t>
      </w:r>
      <w:r w:rsidRPr="00D01E92">
        <w:rPr>
          <w:rFonts w:ascii="Arial Narrow" w:hAnsi="Arial Narrow" w:cs="Arial"/>
          <w:sz w:val="28"/>
          <w:szCs w:val="28"/>
        </w:rPr>
        <w:t xml:space="preserve"> Entre los que se encuentran:</w:t>
      </w:r>
    </w:p>
    <w:p w14:paraId="235C040E"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1-Androstenediol (5α-androst-1-ene-3β,17β-diol)</w:t>
      </w:r>
    </w:p>
    <w:p w14:paraId="1C14467C"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1-Androstenediona (5α-androst-1-ene-3,17-diona)</w:t>
      </w:r>
    </w:p>
    <w:p w14:paraId="50E0BBC4"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1-Androsterona (3α-hidroxi-5α-androst-1-en-17-ona)</w:t>
      </w:r>
    </w:p>
    <w:p w14:paraId="58903B4C"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1-Testosterona (17β-hidroxi-5α-androst-1-en-3-ona)</w:t>
      </w:r>
    </w:p>
    <w:p w14:paraId="303FBE6F"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Bolasterona</w:t>
      </w:r>
    </w:p>
    <w:p w14:paraId="18796A6A"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Calusterona</w:t>
      </w:r>
    </w:p>
    <w:p w14:paraId="04F41FEE"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Clostebol</w:t>
      </w:r>
    </w:p>
    <w:p w14:paraId="2479A283"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Danazol ([1,2]oxazolo[4',5':2,3]pregna-4-en-20-yn-17α-ol)</w:t>
      </w:r>
    </w:p>
    <w:p w14:paraId="695C4624"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Dehydrochlormethyltestosterona (4-chloro-17β-hidroxi-17α-metilandrosta-1,4-dien-3-ona)</w:t>
      </w:r>
    </w:p>
    <w:p w14:paraId="13FBC905"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Desoximetiltestosterona (17α-metil-5α-androst-2-en-17β-ol y 17α-metil-5α-androst-3-en-17β-ol)</w:t>
      </w:r>
    </w:p>
    <w:p w14:paraId="3D5B748C"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Drostanolona</w:t>
      </w:r>
    </w:p>
    <w:p w14:paraId="7892ED62"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lastRenderedPageBreak/>
        <w:t>Etilestrenol (19-norpregna-4-en-17α-ol)</w:t>
      </w:r>
    </w:p>
    <w:p w14:paraId="37A9B03A"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Fluoxymesterona</w:t>
      </w:r>
    </w:p>
    <w:p w14:paraId="03DA8301"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Formebolona</w:t>
      </w:r>
    </w:p>
    <w:p w14:paraId="70E08059"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Furazabol (17α-metil [1,2,5]oxadiazolo[3',4':2,3]-5α-androstan-17β-ol)</w:t>
      </w:r>
    </w:p>
    <w:p w14:paraId="6FA8BF01"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Gestrinona</w:t>
      </w:r>
    </w:p>
    <w:p w14:paraId="37B48020"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Mestanolona</w:t>
      </w:r>
    </w:p>
    <w:p w14:paraId="22A421B8" w14:textId="77777777" w:rsidR="00C14292" w:rsidRPr="00D01E92" w:rsidRDefault="00C14292" w:rsidP="00C14292">
      <w:pPr>
        <w:pStyle w:val="Prrafodelista"/>
        <w:ind w:left="757"/>
        <w:jc w:val="both"/>
        <w:rPr>
          <w:rFonts w:ascii="Arial Narrow" w:hAnsi="Arial Narrow" w:cs="Arial"/>
          <w:sz w:val="28"/>
          <w:szCs w:val="28"/>
        </w:rPr>
      </w:pPr>
    </w:p>
    <w:p w14:paraId="0DAE5E5F" w14:textId="77777777" w:rsidR="00C14292" w:rsidRPr="00D01E92" w:rsidRDefault="00C14292" w:rsidP="00C14292">
      <w:pPr>
        <w:pStyle w:val="Prrafodelista"/>
        <w:numPr>
          <w:ilvl w:val="0"/>
          <w:numId w:val="16"/>
        </w:numPr>
        <w:spacing w:after="160" w:line="259" w:lineRule="auto"/>
        <w:ind w:left="757"/>
        <w:jc w:val="both"/>
        <w:rPr>
          <w:rFonts w:ascii="Arial Narrow" w:hAnsi="Arial Narrow" w:cs="Arial"/>
          <w:b/>
          <w:sz w:val="28"/>
          <w:szCs w:val="28"/>
        </w:rPr>
      </w:pPr>
      <w:r w:rsidRPr="00D01E92">
        <w:rPr>
          <w:rFonts w:ascii="Arial Narrow" w:hAnsi="Arial Narrow" w:cs="Arial"/>
          <w:b/>
          <w:sz w:val="28"/>
          <w:szCs w:val="28"/>
        </w:rPr>
        <w:t xml:space="preserve">EAA ENDÓGENOS. </w:t>
      </w:r>
      <w:r w:rsidRPr="00D01E92">
        <w:rPr>
          <w:rFonts w:ascii="Arial Narrow" w:hAnsi="Arial Narrow" w:cs="Arial"/>
          <w:sz w:val="28"/>
          <w:szCs w:val="28"/>
        </w:rPr>
        <w:t>Entre los que se encuentran:</w:t>
      </w:r>
    </w:p>
    <w:p w14:paraId="756723C5"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4-androstendiol (androst-4-en-3β,17β-diol)</w:t>
      </w:r>
    </w:p>
    <w:p w14:paraId="10D444CA"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4-hidroxitestosterona (4,17β-dihidroxiandrost-4-en-3-ona)</w:t>
      </w:r>
    </w:p>
    <w:p w14:paraId="3A5FB58D"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5-androstendiona (androst-5-en-3,17-diona)</w:t>
      </w:r>
    </w:p>
    <w:p w14:paraId="04C4B699"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7α-hidroxi-DHEA</w:t>
      </w:r>
    </w:p>
    <w:p w14:paraId="099DACEE"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7β-hidroxi-DHEA</w:t>
      </w:r>
    </w:p>
    <w:p w14:paraId="00FFD36C"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7-Ceto-DHEA</w:t>
      </w:r>
    </w:p>
    <w:p w14:paraId="715E891C"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19-Norandrostenediol (estr-4-ene-3,17-diol)</w:t>
      </w:r>
    </w:p>
    <w:p w14:paraId="52BEDDD3"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19-Norandrostenediona (estr-4-ene-3,17-diona)</w:t>
      </w:r>
    </w:p>
    <w:p w14:paraId="7F50C72F"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Androstanolona (5α-dihidrotestosterona, 17β-hidroxi-5α-androstan-3-ona)</w:t>
      </w:r>
    </w:p>
    <w:p w14:paraId="58F6469E"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Androstenediol (androst-5-ene-3β,17β-diol)</w:t>
      </w:r>
    </w:p>
    <w:p w14:paraId="7AFFEEA4"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Androstenediona (androst-4-ene-3,17-diona)</w:t>
      </w:r>
    </w:p>
    <w:p w14:paraId="47730236"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Boldenona</w:t>
      </w:r>
    </w:p>
    <w:p w14:paraId="2228BC8B" w14:textId="77777777" w:rsidR="00C14292" w:rsidRPr="00D01E92" w:rsidRDefault="00C14292" w:rsidP="00C14292">
      <w:pPr>
        <w:pStyle w:val="Prrafodelista"/>
        <w:ind w:left="757"/>
        <w:jc w:val="both"/>
        <w:rPr>
          <w:rFonts w:ascii="Arial Narrow" w:hAnsi="Arial Narrow" w:cs="Arial"/>
          <w:sz w:val="28"/>
          <w:szCs w:val="28"/>
        </w:rPr>
      </w:pPr>
    </w:p>
    <w:p w14:paraId="0FD5DBB1" w14:textId="77777777" w:rsidR="00C14292" w:rsidRPr="00D01E92" w:rsidRDefault="00C14292" w:rsidP="00C14292">
      <w:pPr>
        <w:pStyle w:val="Prrafodelista"/>
        <w:numPr>
          <w:ilvl w:val="0"/>
          <w:numId w:val="16"/>
        </w:numPr>
        <w:spacing w:after="160" w:line="259" w:lineRule="auto"/>
        <w:ind w:left="757"/>
        <w:jc w:val="both"/>
        <w:rPr>
          <w:rFonts w:ascii="Arial Narrow" w:hAnsi="Arial Narrow" w:cs="Arial"/>
          <w:b/>
          <w:sz w:val="28"/>
          <w:szCs w:val="28"/>
        </w:rPr>
      </w:pPr>
      <w:r w:rsidRPr="00D01E92">
        <w:rPr>
          <w:rFonts w:ascii="Arial Narrow" w:hAnsi="Arial Narrow" w:cs="Arial"/>
          <w:b/>
          <w:sz w:val="28"/>
          <w:szCs w:val="28"/>
        </w:rPr>
        <w:t>OTROS AGENTES METABOLIZANTES</w:t>
      </w:r>
    </w:p>
    <w:p w14:paraId="1A59DBD0"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Clenbuterol</w:t>
      </w:r>
    </w:p>
    <w:p w14:paraId="04526B1F"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Moduladores selectivos del receptor de andrógeno (SARMs, p. ej. andarina, LGD-4033, enobosarm (ostarina) y RAD140) (SARMs), e.g. andarine, LGD-4033, enobosarm (ostarine) and RAD140;</w:t>
      </w:r>
    </w:p>
    <w:p w14:paraId="68E42C59"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Tibolona</w:t>
      </w:r>
    </w:p>
    <w:p w14:paraId="148632FE"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Zeranol</w:t>
      </w:r>
    </w:p>
    <w:p w14:paraId="7B5EF9E2"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Zilpaterol</w:t>
      </w:r>
    </w:p>
    <w:p w14:paraId="05A55B7A" w14:textId="77777777" w:rsidR="00C14292" w:rsidRPr="00D01E92" w:rsidRDefault="00C14292" w:rsidP="00C14292">
      <w:pPr>
        <w:jc w:val="both"/>
        <w:rPr>
          <w:rFonts w:ascii="Arial Narrow" w:hAnsi="Arial Narrow" w:cs="Arial"/>
          <w:sz w:val="28"/>
          <w:szCs w:val="28"/>
        </w:rPr>
      </w:pPr>
    </w:p>
    <w:p w14:paraId="33B2FAEA" w14:textId="77777777" w:rsidR="00C14292" w:rsidRPr="00D01E92" w:rsidRDefault="00C14292" w:rsidP="00C14292">
      <w:pPr>
        <w:pStyle w:val="Prrafodelista"/>
        <w:numPr>
          <w:ilvl w:val="0"/>
          <w:numId w:val="15"/>
        </w:numPr>
        <w:spacing w:after="160" w:line="259" w:lineRule="auto"/>
        <w:ind w:left="757"/>
        <w:jc w:val="both"/>
        <w:rPr>
          <w:rFonts w:ascii="Arial Narrow" w:hAnsi="Arial Narrow" w:cs="Arial"/>
          <w:b/>
          <w:sz w:val="28"/>
          <w:szCs w:val="28"/>
        </w:rPr>
      </w:pPr>
      <w:r w:rsidRPr="00D01E92">
        <w:rPr>
          <w:rFonts w:ascii="Arial Narrow" w:hAnsi="Arial Narrow" w:cs="Arial"/>
          <w:b/>
          <w:sz w:val="28"/>
          <w:szCs w:val="28"/>
        </w:rPr>
        <w:lastRenderedPageBreak/>
        <w:t>HORMONAS PEPTÍDICAS, FACTORES DE CRECIMIENTO, SUSTANCIAS AFINES Y MIMÉTICOS</w:t>
      </w:r>
    </w:p>
    <w:p w14:paraId="7450A132" w14:textId="77777777" w:rsidR="00C14292" w:rsidRPr="00D01E92" w:rsidRDefault="00C14292" w:rsidP="00C14292">
      <w:pPr>
        <w:pStyle w:val="Prrafodelista"/>
        <w:ind w:left="757"/>
        <w:jc w:val="both"/>
        <w:rPr>
          <w:rFonts w:ascii="Arial Narrow" w:hAnsi="Arial Narrow" w:cs="Arial"/>
          <w:b/>
          <w:sz w:val="28"/>
          <w:szCs w:val="28"/>
        </w:rPr>
      </w:pPr>
    </w:p>
    <w:p w14:paraId="5444F239" w14:textId="77777777" w:rsidR="00C14292" w:rsidRPr="00D01E92" w:rsidRDefault="00C14292" w:rsidP="00C14292">
      <w:pPr>
        <w:pStyle w:val="Prrafodelista"/>
        <w:numPr>
          <w:ilvl w:val="0"/>
          <w:numId w:val="17"/>
        </w:numPr>
        <w:spacing w:after="160" w:line="259" w:lineRule="auto"/>
        <w:jc w:val="both"/>
        <w:rPr>
          <w:rFonts w:ascii="Arial Narrow" w:hAnsi="Arial Narrow" w:cs="Arial"/>
          <w:b/>
          <w:sz w:val="28"/>
          <w:szCs w:val="28"/>
        </w:rPr>
      </w:pPr>
      <w:r w:rsidRPr="00D01E92">
        <w:rPr>
          <w:rFonts w:ascii="Arial Narrow" w:hAnsi="Arial Narrow" w:cs="Arial"/>
          <w:b/>
          <w:sz w:val="28"/>
          <w:szCs w:val="28"/>
        </w:rPr>
        <w:t>Eritropoyetinas (EPO) Y agentes que afectan la eritropoyesis</w:t>
      </w:r>
    </w:p>
    <w:p w14:paraId="740D66AC"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Darbepoyetina (dEPO)</w:t>
      </w:r>
    </w:p>
    <w:p w14:paraId="4128B8E3"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Erytropoyetinas (EPO)</w:t>
      </w:r>
    </w:p>
    <w:p w14:paraId="5249C597"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Constructos derivados de EPO (EPO-Fc; metoxi-polietilenglicol epoyetina beta (CERA))</w:t>
      </w:r>
    </w:p>
    <w:p w14:paraId="732E059F"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Agentes miméticos</w:t>
      </w:r>
      <w:r w:rsidRPr="00D01E92">
        <w:rPr>
          <w:rFonts w:ascii="Arial Narrow" w:hAnsi="Arial Narrow" w:cs="Arial"/>
          <w:b/>
          <w:sz w:val="28"/>
          <w:szCs w:val="28"/>
        </w:rPr>
        <w:t xml:space="preserve"> </w:t>
      </w:r>
      <w:r w:rsidRPr="00D01E92">
        <w:rPr>
          <w:rFonts w:ascii="Arial Narrow" w:hAnsi="Arial Narrow" w:cs="Arial"/>
          <w:sz w:val="28"/>
          <w:szCs w:val="28"/>
        </w:rPr>
        <w:t xml:space="preserve">de EPO y sus constructos. </w:t>
      </w:r>
    </w:p>
    <w:p w14:paraId="479AA7D0"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Argón</w:t>
      </w:r>
    </w:p>
    <w:p w14:paraId="1324A491"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Cobalto</w:t>
      </w:r>
    </w:p>
    <w:p w14:paraId="7FCA0585"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Daprodustat (GSK1278863)</w:t>
      </w:r>
    </w:p>
    <w:p w14:paraId="0442BE06"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Molidustat (BAY 85-3934)</w:t>
      </w:r>
    </w:p>
    <w:p w14:paraId="0F80A5A7"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Roxadustat (FG-4592)</w:t>
      </w:r>
    </w:p>
    <w:p w14:paraId="555FB75B"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Vadadustat (AKB-6548)</w:t>
      </w:r>
    </w:p>
    <w:p w14:paraId="540A0708"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Xenón</w:t>
      </w:r>
    </w:p>
    <w:p w14:paraId="1FBCAA1B" w14:textId="77777777" w:rsidR="00C14292" w:rsidRPr="00D01E92" w:rsidRDefault="00C14292" w:rsidP="00C14292">
      <w:pPr>
        <w:pStyle w:val="Prrafodelista"/>
        <w:ind w:left="757"/>
        <w:jc w:val="both"/>
        <w:rPr>
          <w:rFonts w:ascii="Arial Narrow" w:hAnsi="Arial Narrow" w:cs="Arial"/>
          <w:sz w:val="28"/>
          <w:szCs w:val="28"/>
        </w:rPr>
      </w:pPr>
    </w:p>
    <w:p w14:paraId="23D68C60" w14:textId="77777777" w:rsidR="00C14292" w:rsidRPr="00D01E92" w:rsidRDefault="00C14292" w:rsidP="00C14292">
      <w:pPr>
        <w:pStyle w:val="Prrafodelista"/>
        <w:numPr>
          <w:ilvl w:val="0"/>
          <w:numId w:val="17"/>
        </w:numPr>
        <w:spacing w:after="160" w:line="259" w:lineRule="auto"/>
        <w:jc w:val="both"/>
        <w:rPr>
          <w:rFonts w:ascii="Arial Narrow" w:hAnsi="Arial Narrow" w:cs="Arial"/>
          <w:b/>
          <w:sz w:val="28"/>
          <w:szCs w:val="28"/>
        </w:rPr>
      </w:pPr>
      <w:r w:rsidRPr="00D01E92">
        <w:rPr>
          <w:rFonts w:ascii="Arial Narrow" w:hAnsi="Arial Narrow" w:cs="Arial"/>
          <w:b/>
          <w:sz w:val="28"/>
          <w:szCs w:val="28"/>
        </w:rPr>
        <w:t>Hormonas peptídicas y sus factores de liberación</w:t>
      </w:r>
    </w:p>
    <w:p w14:paraId="78D40C0C"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Buserelina</w:t>
      </w:r>
    </w:p>
    <w:p w14:paraId="79DF2C01"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Deslorelina</w:t>
      </w:r>
    </w:p>
    <w:p w14:paraId="01A8281D"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Gonadorelina</w:t>
      </w:r>
    </w:p>
    <w:p w14:paraId="2B179CDB"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Goserelina</w:t>
      </w:r>
    </w:p>
    <w:p w14:paraId="43E93981"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Leuprorelina</w:t>
      </w:r>
    </w:p>
    <w:p w14:paraId="654FD4D4"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Nafarelina</w:t>
      </w:r>
    </w:p>
    <w:p w14:paraId="42A4ABC5"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Triptorelina</w:t>
      </w:r>
    </w:p>
    <w:p w14:paraId="425E8DD7" w14:textId="77777777" w:rsidR="00C14292" w:rsidRPr="00D01E92" w:rsidRDefault="00C14292" w:rsidP="00C14292">
      <w:pPr>
        <w:pStyle w:val="Prrafodelista"/>
        <w:ind w:left="757"/>
        <w:jc w:val="both"/>
        <w:rPr>
          <w:rFonts w:ascii="Arial Narrow" w:hAnsi="Arial Narrow" w:cs="Arial"/>
          <w:sz w:val="28"/>
          <w:szCs w:val="28"/>
        </w:rPr>
      </w:pPr>
    </w:p>
    <w:p w14:paraId="407452D0" w14:textId="77777777" w:rsidR="00C14292" w:rsidRPr="00D01E92" w:rsidRDefault="00C14292" w:rsidP="00C14292">
      <w:pPr>
        <w:pStyle w:val="Prrafodelista"/>
        <w:numPr>
          <w:ilvl w:val="0"/>
          <w:numId w:val="17"/>
        </w:numPr>
        <w:spacing w:after="160" w:line="259" w:lineRule="auto"/>
        <w:jc w:val="both"/>
        <w:rPr>
          <w:rFonts w:ascii="Arial Narrow" w:hAnsi="Arial Narrow" w:cs="Arial"/>
          <w:b/>
          <w:sz w:val="28"/>
          <w:szCs w:val="28"/>
        </w:rPr>
      </w:pPr>
      <w:r w:rsidRPr="00D01E92">
        <w:rPr>
          <w:rFonts w:ascii="Arial Narrow" w:hAnsi="Arial Narrow" w:cs="Arial"/>
          <w:b/>
          <w:sz w:val="28"/>
          <w:szCs w:val="28"/>
        </w:rPr>
        <w:t>Factores de crecimiento y moduladores de factores de crecimiento</w:t>
      </w:r>
    </w:p>
    <w:p w14:paraId="4999CA02"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Factor de Crecimiento Derivado de Plaquetas (PDGF)</w:t>
      </w:r>
    </w:p>
    <w:p w14:paraId="2BE77D67"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Factor de Crecimiento de Tipo Insulínico-I (IGF-I), y sus análogos;</w:t>
      </w:r>
    </w:p>
    <w:p w14:paraId="6AC2A79D"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Factores de Crecimiento Fibroblásticos (FGF), and its analogues;</w:t>
      </w:r>
    </w:p>
    <w:p w14:paraId="48A53203"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Factor de Crecimiento del Enditelio Vascular (VEGF)</w:t>
      </w:r>
    </w:p>
    <w:p w14:paraId="047C8039"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Factor de Crecimiento de Hepatocitos (HGF)</w:t>
      </w:r>
    </w:p>
    <w:p w14:paraId="374FCA19"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lastRenderedPageBreak/>
        <w:t>Factores Mecánicas de Crecimiento (MGF)</w:t>
      </w:r>
    </w:p>
    <w:p w14:paraId="0B08EE30"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Timosina-β4 , y sus derivados por ej. TB-500;</w:t>
      </w:r>
    </w:p>
    <w:p w14:paraId="70A65764" w14:textId="77777777" w:rsidR="00C14292" w:rsidRPr="00D01E92" w:rsidRDefault="00C14292" w:rsidP="00C14292">
      <w:pPr>
        <w:pStyle w:val="Prrafodelista"/>
        <w:ind w:left="757"/>
        <w:jc w:val="both"/>
        <w:rPr>
          <w:rFonts w:ascii="Arial Narrow" w:hAnsi="Arial Narrow" w:cs="Arial"/>
          <w:sz w:val="28"/>
          <w:szCs w:val="28"/>
        </w:rPr>
      </w:pPr>
    </w:p>
    <w:p w14:paraId="38737AC2" w14:textId="77777777" w:rsidR="00C14292" w:rsidRPr="00D01E92" w:rsidRDefault="00C14292" w:rsidP="00C14292">
      <w:pPr>
        <w:pStyle w:val="Prrafodelista"/>
        <w:numPr>
          <w:ilvl w:val="0"/>
          <w:numId w:val="15"/>
        </w:numPr>
        <w:spacing w:after="160" w:line="259" w:lineRule="auto"/>
        <w:ind w:left="757"/>
        <w:jc w:val="both"/>
        <w:rPr>
          <w:rFonts w:ascii="Arial Narrow" w:hAnsi="Arial Narrow" w:cs="Arial"/>
          <w:b/>
          <w:sz w:val="28"/>
          <w:szCs w:val="28"/>
        </w:rPr>
      </w:pPr>
      <w:r w:rsidRPr="00D01E92">
        <w:rPr>
          <w:rFonts w:ascii="Arial Narrow" w:hAnsi="Arial Narrow" w:cs="Arial"/>
          <w:b/>
          <w:sz w:val="28"/>
          <w:szCs w:val="28"/>
        </w:rPr>
        <w:t>AGONISTAS BETA-2</w:t>
      </w:r>
    </w:p>
    <w:p w14:paraId="41393FD0"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Fenoterol</w:t>
      </w:r>
    </w:p>
    <w:p w14:paraId="4C51F883"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Formoterol</w:t>
      </w:r>
    </w:p>
    <w:p w14:paraId="7FB78D48"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Higenamina</w:t>
      </w:r>
    </w:p>
    <w:p w14:paraId="3FB3FF3D"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Indacaterol</w:t>
      </w:r>
    </w:p>
    <w:p w14:paraId="77539934"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Olodaterol</w:t>
      </w:r>
    </w:p>
    <w:p w14:paraId="5D295C1F"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Procaterol</w:t>
      </w:r>
    </w:p>
    <w:p w14:paraId="16BFF166"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Reproterol</w:t>
      </w:r>
    </w:p>
    <w:p w14:paraId="5C9C8B41"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Salbutamol</w:t>
      </w:r>
    </w:p>
    <w:p w14:paraId="7C97151A"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Salmeterol</w:t>
      </w:r>
    </w:p>
    <w:p w14:paraId="4B117424"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Terbutalina</w:t>
      </w:r>
    </w:p>
    <w:p w14:paraId="77A15FEB"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Tretoquinol (trimetoquinol)</w:t>
      </w:r>
    </w:p>
    <w:p w14:paraId="04E9A838"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Tulobuterol</w:t>
      </w:r>
    </w:p>
    <w:p w14:paraId="12E72AE9"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Vilanterol</w:t>
      </w:r>
    </w:p>
    <w:p w14:paraId="4965F9D2" w14:textId="77777777" w:rsidR="00C14292" w:rsidRPr="00D01E92" w:rsidRDefault="00C14292" w:rsidP="00C14292">
      <w:pPr>
        <w:pStyle w:val="Prrafodelista"/>
        <w:ind w:left="757"/>
        <w:jc w:val="both"/>
        <w:rPr>
          <w:rFonts w:ascii="Arial Narrow" w:hAnsi="Arial Narrow" w:cs="Arial"/>
          <w:sz w:val="28"/>
          <w:szCs w:val="28"/>
        </w:rPr>
      </w:pPr>
    </w:p>
    <w:p w14:paraId="682DCA93"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Excepto:</w:t>
      </w:r>
    </w:p>
    <w:p w14:paraId="3FC148B6"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b/>
          <w:sz w:val="28"/>
          <w:szCs w:val="28"/>
        </w:rPr>
        <w:t>Salbutamol</w:t>
      </w:r>
      <w:r w:rsidRPr="00D01E92">
        <w:rPr>
          <w:rFonts w:ascii="Arial Narrow" w:hAnsi="Arial Narrow" w:cs="Arial"/>
          <w:sz w:val="28"/>
          <w:szCs w:val="28"/>
        </w:rPr>
        <w:t>. Por inhalación: dosis máxima de 1600 microgramos por 24 horas, en dosis divididas que no excedan 800 microgramos a lo largo de 12 horas empezando con cualquier dosis;</w:t>
      </w:r>
    </w:p>
    <w:p w14:paraId="750F49C0"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b/>
          <w:sz w:val="28"/>
          <w:szCs w:val="28"/>
        </w:rPr>
        <w:t>Formoterol</w:t>
      </w:r>
      <w:r w:rsidRPr="00D01E92">
        <w:rPr>
          <w:rFonts w:ascii="Arial Narrow" w:hAnsi="Arial Narrow" w:cs="Arial"/>
          <w:sz w:val="28"/>
          <w:szCs w:val="28"/>
        </w:rPr>
        <w:t>. Por inhalación: dosis máxima liberada de 54 microgramos por 24 horas y</w:t>
      </w:r>
    </w:p>
    <w:p w14:paraId="668D5092"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b/>
          <w:sz w:val="28"/>
          <w:szCs w:val="28"/>
        </w:rPr>
        <w:t>Salmeterol</w:t>
      </w:r>
      <w:r w:rsidRPr="00D01E92">
        <w:rPr>
          <w:rFonts w:ascii="Arial Narrow" w:hAnsi="Arial Narrow" w:cs="Arial"/>
          <w:sz w:val="28"/>
          <w:szCs w:val="28"/>
        </w:rPr>
        <w:t>. Por inhalación: dosis máxima de 200 microgramos por 24 horas.</w:t>
      </w:r>
    </w:p>
    <w:p w14:paraId="5658DAC3" w14:textId="77777777" w:rsidR="00C14292" w:rsidRPr="00D01E92" w:rsidRDefault="00C14292" w:rsidP="00C14292">
      <w:pPr>
        <w:jc w:val="both"/>
        <w:rPr>
          <w:rFonts w:ascii="Arial Narrow" w:hAnsi="Arial Narrow" w:cs="Arial"/>
          <w:sz w:val="28"/>
          <w:szCs w:val="28"/>
        </w:rPr>
      </w:pPr>
    </w:p>
    <w:p w14:paraId="29CD4FFF" w14:textId="77777777" w:rsidR="00C14292" w:rsidRPr="00D01E92" w:rsidRDefault="00C14292" w:rsidP="00C14292">
      <w:pPr>
        <w:pStyle w:val="Prrafodelista"/>
        <w:numPr>
          <w:ilvl w:val="0"/>
          <w:numId w:val="15"/>
        </w:numPr>
        <w:spacing w:after="160" w:line="259" w:lineRule="auto"/>
        <w:ind w:left="757"/>
        <w:jc w:val="both"/>
        <w:rPr>
          <w:rFonts w:ascii="Arial Narrow" w:hAnsi="Arial Narrow" w:cs="Arial"/>
          <w:b/>
          <w:sz w:val="28"/>
          <w:szCs w:val="28"/>
        </w:rPr>
      </w:pPr>
      <w:r w:rsidRPr="00D01E92">
        <w:rPr>
          <w:rFonts w:ascii="Arial Narrow" w:hAnsi="Arial Narrow" w:cs="Arial"/>
          <w:b/>
          <w:sz w:val="28"/>
          <w:szCs w:val="28"/>
        </w:rPr>
        <w:t>Moduladores hormonales y metabólicos</w:t>
      </w:r>
    </w:p>
    <w:p w14:paraId="4482A55B" w14:textId="77777777" w:rsidR="00C14292" w:rsidRPr="00D01E92" w:rsidRDefault="00C14292" w:rsidP="00C14292">
      <w:pPr>
        <w:pStyle w:val="Prrafodelista"/>
        <w:ind w:left="757"/>
        <w:jc w:val="both"/>
        <w:rPr>
          <w:rFonts w:ascii="Arial Narrow" w:hAnsi="Arial Narrow" w:cs="Arial"/>
          <w:b/>
          <w:sz w:val="28"/>
          <w:szCs w:val="28"/>
        </w:rPr>
      </w:pPr>
    </w:p>
    <w:p w14:paraId="630E64FB" w14:textId="77777777" w:rsidR="00C14292" w:rsidRPr="00D01E92" w:rsidRDefault="00C14292" w:rsidP="00C14292">
      <w:pPr>
        <w:pStyle w:val="Prrafodelista"/>
        <w:numPr>
          <w:ilvl w:val="0"/>
          <w:numId w:val="18"/>
        </w:numPr>
        <w:spacing w:after="160" w:line="259" w:lineRule="auto"/>
        <w:ind w:left="757"/>
        <w:jc w:val="both"/>
        <w:rPr>
          <w:rFonts w:ascii="Arial Narrow" w:hAnsi="Arial Narrow" w:cs="Arial"/>
          <w:b/>
          <w:sz w:val="28"/>
          <w:szCs w:val="28"/>
        </w:rPr>
      </w:pPr>
      <w:r w:rsidRPr="00D01E92">
        <w:rPr>
          <w:rFonts w:ascii="Arial Narrow" w:hAnsi="Arial Narrow" w:cs="Arial"/>
          <w:b/>
          <w:sz w:val="28"/>
          <w:szCs w:val="28"/>
        </w:rPr>
        <w:t>Inhibidores de la Aromatasa</w:t>
      </w:r>
    </w:p>
    <w:p w14:paraId="3A44D19E"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2-Androstenol (5α-androst-2-en-17-ol)</w:t>
      </w:r>
    </w:p>
    <w:p w14:paraId="7D2A6B78"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2-Androstenona (5α-androst-2-en-17-ona)</w:t>
      </w:r>
    </w:p>
    <w:p w14:paraId="5F69C8F6"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lastRenderedPageBreak/>
        <w:t>3-Androstenol (5α-androst-3-en-17-ol)</w:t>
      </w:r>
    </w:p>
    <w:p w14:paraId="784F74A2"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3-Androstenona (5α-androst-3-en-17-ona)</w:t>
      </w:r>
    </w:p>
    <w:p w14:paraId="1B3A60F1"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4-ndrosten-3,6,17 triona (6-oxo)</w:t>
      </w:r>
    </w:p>
    <w:p w14:paraId="29A5BB38"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Aminoglutetimida</w:t>
      </w:r>
    </w:p>
    <w:p w14:paraId="560C19A0"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Anastrozol</w:t>
      </w:r>
    </w:p>
    <w:p w14:paraId="293FF780"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Androsta-1,4,6-trien-3,17-diona (androstatriendiona)</w:t>
      </w:r>
    </w:p>
    <w:p w14:paraId="1606C451"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Androsta-3,5-dien-7,17-diona (arimistano)</w:t>
      </w:r>
    </w:p>
    <w:p w14:paraId="1CA61099"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Exemestano</w:t>
      </w:r>
    </w:p>
    <w:p w14:paraId="29D787C3"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Formestano</w:t>
      </w:r>
    </w:p>
    <w:p w14:paraId="4C8016EF"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Letrozol</w:t>
      </w:r>
    </w:p>
    <w:p w14:paraId="68FCB985"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Testolactona</w:t>
      </w:r>
    </w:p>
    <w:p w14:paraId="42661655" w14:textId="77777777" w:rsidR="00C14292" w:rsidRPr="00D01E92" w:rsidRDefault="00C14292" w:rsidP="00C14292">
      <w:pPr>
        <w:pStyle w:val="Prrafodelista"/>
        <w:ind w:left="757"/>
        <w:jc w:val="both"/>
        <w:rPr>
          <w:rFonts w:ascii="Arial Narrow" w:hAnsi="Arial Narrow" w:cs="Arial"/>
          <w:sz w:val="28"/>
          <w:szCs w:val="28"/>
        </w:rPr>
      </w:pPr>
    </w:p>
    <w:p w14:paraId="61738DBF" w14:textId="77777777" w:rsidR="00C14292" w:rsidRPr="00D01E92" w:rsidRDefault="00C14292" w:rsidP="00C14292">
      <w:pPr>
        <w:pStyle w:val="Prrafodelista"/>
        <w:numPr>
          <w:ilvl w:val="0"/>
          <w:numId w:val="18"/>
        </w:numPr>
        <w:spacing w:after="160" w:line="259" w:lineRule="auto"/>
        <w:ind w:left="757"/>
        <w:jc w:val="both"/>
        <w:rPr>
          <w:rFonts w:ascii="Arial Narrow" w:hAnsi="Arial Narrow" w:cs="Arial"/>
          <w:b/>
          <w:sz w:val="28"/>
          <w:szCs w:val="28"/>
        </w:rPr>
      </w:pPr>
      <w:r w:rsidRPr="00D01E92">
        <w:rPr>
          <w:rFonts w:ascii="Arial Narrow" w:hAnsi="Arial Narrow" w:cs="Arial"/>
          <w:b/>
          <w:sz w:val="28"/>
          <w:szCs w:val="28"/>
        </w:rPr>
        <w:t>Moduladores selectivos de los receptores de estrógeno</w:t>
      </w:r>
    </w:p>
    <w:p w14:paraId="2911D48B"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Raloxifeno</w:t>
      </w:r>
    </w:p>
    <w:p w14:paraId="2C13B183"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Tamoxifeno</w:t>
      </w:r>
    </w:p>
    <w:p w14:paraId="0A8DC057"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Toremifeno</w:t>
      </w:r>
    </w:p>
    <w:p w14:paraId="7B188399" w14:textId="77777777" w:rsidR="00C14292" w:rsidRPr="00D01E92" w:rsidRDefault="00C14292" w:rsidP="00C14292">
      <w:pPr>
        <w:pStyle w:val="Prrafodelista"/>
        <w:ind w:left="757"/>
        <w:jc w:val="both"/>
        <w:rPr>
          <w:rFonts w:ascii="Arial Narrow" w:hAnsi="Arial Narrow" w:cs="Arial"/>
          <w:sz w:val="28"/>
          <w:szCs w:val="28"/>
        </w:rPr>
      </w:pPr>
    </w:p>
    <w:p w14:paraId="767D750C" w14:textId="77777777" w:rsidR="00C14292" w:rsidRPr="00D01E92" w:rsidRDefault="00C14292" w:rsidP="00C14292">
      <w:pPr>
        <w:pStyle w:val="Prrafodelista"/>
        <w:numPr>
          <w:ilvl w:val="0"/>
          <w:numId w:val="18"/>
        </w:numPr>
        <w:spacing w:after="160" w:line="259" w:lineRule="auto"/>
        <w:ind w:left="757"/>
        <w:jc w:val="both"/>
        <w:rPr>
          <w:rFonts w:ascii="Arial Narrow" w:hAnsi="Arial Narrow" w:cs="Arial"/>
          <w:b/>
          <w:sz w:val="28"/>
          <w:szCs w:val="28"/>
        </w:rPr>
      </w:pPr>
      <w:r w:rsidRPr="00D01E92">
        <w:rPr>
          <w:rFonts w:ascii="Arial Narrow" w:hAnsi="Arial Narrow" w:cs="Arial"/>
          <w:b/>
          <w:sz w:val="28"/>
          <w:szCs w:val="28"/>
        </w:rPr>
        <w:t>Sustancias Antiestrogénicas</w:t>
      </w:r>
    </w:p>
    <w:p w14:paraId="46003FED"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Clomifeno</w:t>
      </w:r>
    </w:p>
    <w:p w14:paraId="12A1369A"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Ciclofenil</w:t>
      </w:r>
    </w:p>
    <w:p w14:paraId="4DB85AB5"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Fulvestrant</w:t>
      </w:r>
    </w:p>
    <w:p w14:paraId="347CA467" w14:textId="77777777" w:rsidR="00C14292" w:rsidRPr="00D01E92" w:rsidRDefault="00C14292" w:rsidP="00C14292">
      <w:pPr>
        <w:pStyle w:val="Prrafodelista"/>
        <w:ind w:left="757"/>
        <w:jc w:val="both"/>
        <w:rPr>
          <w:rFonts w:ascii="Arial Narrow" w:hAnsi="Arial Narrow" w:cs="Arial"/>
          <w:sz w:val="28"/>
          <w:szCs w:val="28"/>
        </w:rPr>
      </w:pPr>
    </w:p>
    <w:p w14:paraId="2CBBC44F" w14:textId="77777777" w:rsidR="00C14292" w:rsidRPr="00D01E92" w:rsidRDefault="00C14292" w:rsidP="00C14292">
      <w:pPr>
        <w:pStyle w:val="Prrafodelista"/>
        <w:numPr>
          <w:ilvl w:val="0"/>
          <w:numId w:val="18"/>
        </w:numPr>
        <w:spacing w:after="160" w:line="259" w:lineRule="auto"/>
        <w:ind w:left="757"/>
        <w:jc w:val="both"/>
        <w:rPr>
          <w:rFonts w:ascii="Arial Narrow" w:hAnsi="Arial Narrow" w:cs="Arial"/>
          <w:b/>
          <w:sz w:val="28"/>
          <w:szCs w:val="28"/>
        </w:rPr>
      </w:pPr>
      <w:r w:rsidRPr="00D01E92">
        <w:rPr>
          <w:rFonts w:ascii="Arial Narrow" w:hAnsi="Arial Narrow" w:cs="Arial"/>
          <w:b/>
          <w:sz w:val="28"/>
          <w:szCs w:val="28"/>
        </w:rPr>
        <w:t>Agentes que previenen la activación del receptor IIB de la activina</w:t>
      </w:r>
    </w:p>
    <w:p w14:paraId="3A66C9B7"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Agentes que reducen o ablacionan la expresión del receptor IIB de la activina</w:t>
      </w:r>
    </w:p>
    <w:p w14:paraId="1455421B"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Anticuerpos neutralizantes de la activina-A, ianticuerpos anti-receptor IIB de la activina (p. ej. bimagrumab)</w:t>
      </w:r>
    </w:p>
    <w:p w14:paraId="25D5CA5F"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Competidores del receptor IIB de la activina tales como receptores señuelos de la activina (por ej. ACE-031)</w:t>
      </w:r>
    </w:p>
    <w:p w14:paraId="15C159B5" w14:textId="77777777" w:rsidR="00C14292" w:rsidRPr="00D01E92" w:rsidRDefault="00C14292" w:rsidP="00C14292">
      <w:pPr>
        <w:pStyle w:val="Prrafodelista"/>
        <w:ind w:left="757"/>
        <w:jc w:val="both"/>
        <w:rPr>
          <w:rFonts w:ascii="Arial Narrow" w:hAnsi="Arial Narrow" w:cs="Arial"/>
          <w:sz w:val="28"/>
          <w:szCs w:val="28"/>
        </w:rPr>
      </w:pPr>
    </w:p>
    <w:p w14:paraId="359B3B43" w14:textId="77777777" w:rsidR="00C14292" w:rsidRPr="00D01E92" w:rsidRDefault="00C14292" w:rsidP="00C14292">
      <w:pPr>
        <w:pStyle w:val="Prrafodelista"/>
        <w:numPr>
          <w:ilvl w:val="0"/>
          <w:numId w:val="18"/>
        </w:numPr>
        <w:spacing w:after="160" w:line="259" w:lineRule="auto"/>
        <w:ind w:left="757"/>
        <w:jc w:val="both"/>
        <w:rPr>
          <w:rFonts w:ascii="Arial Narrow" w:hAnsi="Arial Narrow" w:cs="Arial"/>
          <w:b/>
          <w:sz w:val="28"/>
          <w:szCs w:val="28"/>
        </w:rPr>
      </w:pPr>
      <w:r w:rsidRPr="00D01E92">
        <w:rPr>
          <w:rFonts w:ascii="Arial Narrow" w:hAnsi="Arial Narrow" w:cs="Arial"/>
          <w:b/>
          <w:sz w:val="28"/>
          <w:szCs w:val="28"/>
        </w:rPr>
        <w:t xml:space="preserve">Moduladores metabólicos </w:t>
      </w:r>
    </w:p>
    <w:p w14:paraId="1F3D5042"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Activadores de la proteína kinasa activada por la AMP (AMPK), p. ej. AICAR, SR9009;</w:t>
      </w:r>
    </w:p>
    <w:p w14:paraId="0E3CC26E"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lastRenderedPageBreak/>
        <w:t>Agonistas del Receptor Activado por Proliferadores de Peroxisomas δ (PPAR δ), p.ej. ácido 2-(2-metil-4-((4-metil-2-(4-(trifluorometil)fenil)tiazol-5-il)metiltio)fenoxi) acético (GW 1516, GW501516);</w:t>
      </w:r>
    </w:p>
    <w:p w14:paraId="4BFBB041"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Insulinas , e insulino-miméticos;</w:t>
      </w:r>
    </w:p>
    <w:p w14:paraId="11A59398"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Meldonium</w:t>
      </w:r>
    </w:p>
    <w:p w14:paraId="181BE9DD"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Trimetazidina</w:t>
      </w:r>
    </w:p>
    <w:p w14:paraId="01E78D3E" w14:textId="77777777" w:rsidR="00C14292" w:rsidRPr="00D01E92" w:rsidRDefault="00C14292" w:rsidP="00C14292">
      <w:pPr>
        <w:pStyle w:val="Prrafodelista"/>
        <w:ind w:left="757"/>
        <w:jc w:val="both"/>
        <w:rPr>
          <w:rFonts w:ascii="Arial Narrow" w:hAnsi="Arial Narrow" w:cs="Arial"/>
          <w:sz w:val="28"/>
          <w:szCs w:val="28"/>
        </w:rPr>
      </w:pPr>
    </w:p>
    <w:p w14:paraId="2B2241B7" w14:textId="77777777" w:rsidR="00C14292" w:rsidRPr="00D01E92" w:rsidRDefault="00C14292" w:rsidP="00C14292">
      <w:pPr>
        <w:pStyle w:val="Prrafodelista"/>
        <w:numPr>
          <w:ilvl w:val="0"/>
          <w:numId w:val="15"/>
        </w:numPr>
        <w:spacing w:after="160" w:line="259" w:lineRule="auto"/>
        <w:ind w:left="757"/>
        <w:jc w:val="both"/>
        <w:rPr>
          <w:rFonts w:ascii="Arial Narrow" w:hAnsi="Arial Narrow" w:cs="Arial"/>
          <w:b/>
          <w:sz w:val="28"/>
          <w:szCs w:val="28"/>
        </w:rPr>
      </w:pPr>
      <w:r w:rsidRPr="00D01E92">
        <w:rPr>
          <w:rFonts w:ascii="Arial Narrow" w:hAnsi="Arial Narrow" w:cs="Arial"/>
          <w:b/>
          <w:sz w:val="28"/>
          <w:szCs w:val="28"/>
        </w:rPr>
        <w:t>Diuréticos y agentes enmascarantes</w:t>
      </w:r>
    </w:p>
    <w:p w14:paraId="5C3FDA2E" w14:textId="77777777" w:rsidR="00C14292" w:rsidRPr="00D01E92" w:rsidRDefault="00C14292" w:rsidP="00C14292">
      <w:pPr>
        <w:pStyle w:val="Prrafodelista"/>
        <w:numPr>
          <w:ilvl w:val="0"/>
          <w:numId w:val="19"/>
        </w:numPr>
        <w:spacing w:after="160" w:line="259" w:lineRule="auto"/>
        <w:jc w:val="both"/>
        <w:rPr>
          <w:rFonts w:ascii="Arial Narrow" w:hAnsi="Arial Narrow" w:cs="Arial"/>
          <w:sz w:val="28"/>
          <w:szCs w:val="28"/>
        </w:rPr>
      </w:pPr>
      <w:r w:rsidRPr="00D01E92">
        <w:rPr>
          <w:rFonts w:ascii="Arial Narrow" w:hAnsi="Arial Narrow" w:cs="Arial"/>
          <w:sz w:val="28"/>
          <w:szCs w:val="28"/>
        </w:rPr>
        <w:t>Desmopresina; probenecida; expansores del plasma, p. ej., administración endovenosa de albúmina, dextrano, hidroxietilalmidón y manitol;</w:t>
      </w:r>
    </w:p>
    <w:p w14:paraId="18A1F93F" w14:textId="77777777" w:rsidR="00C14292" w:rsidRPr="00D01E92" w:rsidRDefault="00C14292" w:rsidP="00C14292">
      <w:pPr>
        <w:pStyle w:val="Prrafodelista"/>
        <w:numPr>
          <w:ilvl w:val="0"/>
          <w:numId w:val="19"/>
        </w:numPr>
        <w:spacing w:after="160" w:line="259" w:lineRule="auto"/>
        <w:jc w:val="both"/>
        <w:rPr>
          <w:rFonts w:ascii="Arial Narrow" w:hAnsi="Arial Narrow" w:cs="Arial"/>
          <w:b/>
          <w:sz w:val="28"/>
          <w:szCs w:val="28"/>
        </w:rPr>
      </w:pPr>
      <w:r w:rsidRPr="00D01E92">
        <w:rPr>
          <w:rFonts w:ascii="Arial Narrow" w:hAnsi="Arial Narrow" w:cs="Arial"/>
          <w:sz w:val="28"/>
          <w:szCs w:val="28"/>
        </w:rPr>
        <w:t>Acetazolamida; ácido etacrínico; amilorida; bumetanida; canrenona; clortalidona; espironolactona; furosemida; indapamida; metolazona; tiazidas, p. ej. bendroflumetiazida, clorotiazida</w:t>
      </w:r>
      <w:r w:rsidRPr="00D01E92">
        <w:rPr>
          <w:rFonts w:ascii="Arial Narrow" w:hAnsi="Arial Narrow" w:cs="Arial"/>
          <w:b/>
          <w:sz w:val="28"/>
          <w:szCs w:val="28"/>
        </w:rPr>
        <w:t xml:space="preserve"> </w:t>
      </w:r>
      <w:r w:rsidRPr="00D01E92">
        <w:rPr>
          <w:rFonts w:ascii="Arial Narrow" w:hAnsi="Arial Narrow" w:cs="Arial"/>
          <w:sz w:val="28"/>
          <w:szCs w:val="28"/>
        </w:rPr>
        <w:t>e hidroclorotiazida; triamterene y vaptanes, p. ej., tolvaptán.</w:t>
      </w:r>
    </w:p>
    <w:p w14:paraId="18E393E5" w14:textId="77777777" w:rsidR="00C14292" w:rsidRPr="00D01E92" w:rsidRDefault="00C14292" w:rsidP="00C14292">
      <w:pPr>
        <w:jc w:val="both"/>
        <w:rPr>
          <w:rFonts w:ascii="Arial Narrow" w:hAnsi="Arial Narrow" w:cs="Arial"/>
          <w:b/>
          <w:sz w:val="28"/>
          <w:szCs w:val="28"/>
        </w:rPr>
      </w:pPr>
    </w:p>
    <w:p w14:paraId="6DAD7FE5" w14:textId="77777777" w:rsidR="00C14292" w:rsidRPr="00D01E92" w:rsidRDefault="00C14292" w:rsidP="00C14292">
      <w:pPr>
        <w:pStyle w:val="Prrafodelista"/>
        <w:numPr>
          <w:ilvl w:val="0"/>
          <w:numId w:val="14"/>
        </w:numPr>
        <w:spacing w:after="160" w:line="259" w:lineRule="auto"/>
        <w:jc w:val="both"/>
        <w:rPr>
          <w:rFonts w:ascii="Arial Narrow" w:hAnsi="Arial Narrow" w:cs="Arial"/>
          <w:b/>
          <w:sz w:val="28"/>
          <w:szCs w:val="28"/>
        </w:rPr>
      </w:pPr>
      <w:r w:rsidRPr="00D01E92">
        <w:rPr>
          <w:rFonts w:ascii="Arial Narrow" w:hAnsi="Arial Narrow" w:cs="Arial"/>
          <w:b/>
          <w:sz w:val="28"/>
          <w:szCs w:val="28"/>
        </w:rPr>
        <w:t>MÉTODOS</w:t>
      </w:r>
    </w:p>
    <w:p w14:paraId="34106DE0" w14:textId="77777777" w:rsidR="00C14292" w:rsidRPr="00D01E92" w:rsidRDefault="00C14292" w:rsidP="00C14292">
      <w:pPr>
        <w:pStyle w:val="Prrafodelista"/>
        <w:numPr>
          <w:ilvl w:val="0"/>
          <w:numId w:val="15"/>
        </w:numPr>
        <w:spacing w:after="160" w:line="259" w:lineRule="auto"/>
        <w:ind w:left="757"/>
        <w:jc w:val="both"/>
        <w:rPr>
          <w:rFonts w:ascii="Arial Narrow" w:hAnsi="Arial Narrow" w:cs="Arial"/>
          <w:b/>
          <w:sz w:val="28"/>
          <w:szCs w:val="28"/>
        </w:rPr>
      </w:pPr>
      <w:r w:rsidRPr="00D01E92">
        <w:rPr>
          <w:rFonts w:ascii="Arial Narrow" w:hAnsi="Arial Narrow" w:cs="Arial"/>
          <w:b/>
          <w:sz w:val="28"/>
          <w:szCs w:val="28"/>
        </w:rPr>
        <w:t>Manipulación de sangre y componentes sanguíneos</w:t>
      </w:r>
    </w:p>
    <w:p w14:paraId="7554039D" w14:textId="77777777" w:rsidR="00C14292" w:rsidRPr="00D01E92" w:rsidRDefault="00C14292" w:rsidP="00C14292">
      <w:pPr>
        <w:ind w:left="397"/>
        <w:jc w:val="both"/>
        <w:rPr>
          <w:rFonts w:ascii="Arial Narrow" w:hAnsi="Arial Narrow" w:cs="Arial"/>
          <w:sz w:val="28"/>
          <w:szCs w:val="28"/>
        </w:rPr>
      </w:pPr>
      <w:r w:rsidRPr="00D01E92">
        <w:rPr>
          <w:rFonts w:ascii="Arial Narrow" w:hAnsi="Arial Narrow" w:cs="Arial"/>
          <w:sz w:val="28"/>
          <w:szCs w:val="28"/>
        </w:rPr>
        <w:t>1.  La Administración o reintroducción de cualquier cantidad de sangre autóloga, alogénica (homóloga) o heteróloga o de productos de hematíes de cualquier origen enel sistema circulatorio.</w:t>
      </w:r>
    </w:p>
    <w:p w14:paraId="331B84B0" w14:textId="77777777" w:rsidR="00C14292" w:rsidRPr="00D01E92" w:rsidRDefault="00C14292" w:rsidP="00C14292">
      <w:pPr>
        <w:ind w:left="397"/>
        <w:jc w:val="both"/>
        <w:rPr>
          <w:rFonts w:ascii="Arial Narrow" w:hAnsi="Arial Narrow" w:cs="Arial"/>
          <w:sz w:val="28"/>
          <w:szCs w:val="28"/>
        </w:rPr>
      </w:pPr>
      <w:r w:rsidRPr="00D01E92">
        <w:rPr>
          <w:rFonts w:ascii="Arial Narrow" w:hAnsi="Arial Narrow" w:cs="Arial"/>
          <w:sz w:val="28"/>
          <w:szCs w:val="28"/>
        </w:rPr>
        <w:t>2. Mejora artificial de la captación, el transporte o la transferencia de oxígeno. Incluye pero no se limita a: productos químicos perfluorados; efaproxiral (RSR13) y los productos de hemoglobina modificada, p. ej., productos basados en sustitutos de la hemoglobina o en hemoglobina microencapsulada, excluyendo el oxígeno suplementario por inhalación.</w:t>
      </w:r>
    </w:p>
    <w:p w14:paraId="41BE2815" w14:textId="77777777" w:rsidR="00C14292" w:rsidRPr="00D01E92" w:rsidRDefault="00C14292" w:rsidP="00C14292">
      <w:pPr>
        <w:ind w:left="397"/>
        <w:jc w:val="both"/>
        <w:rPr>
          <w:rFonts w:ascii="Arial Narrow" w:hAnsi="Arial Narrow" w:cs="Arial"/>
          <w:sz w:val="28"/>
          <w:szCs w:val="28"/>
        </w:rPr>
      </w:pPr>
      <w:r w:rsidRPr="00D01E92">
        <w:rPr>
          <w:rFonts w:ascii="Arial Narrow" w:hAnsi="Arial Narrow" w:cs="Arial"/>
          <w:sz w:val="28"/>
          <w:szCs w:val="28"/>
        </w:rPr>
        <w:t>3. Cualquier forma de manipulación intravascular de la sangre o componentes sanguíneos por medios químicos o físicos.</w:t>
      </w:r>
    </w:p>
    <w:p w14:paraId="371486CB" w14:textId="77777777" w:rsidR="00C14292" w:rsidRPr="00D01E92" w:rsidRDefault="00C14292" w:rsidP="00C14292">
      <w:pPr>
        <w:pStyle w:val="Prrafodelista"/>
        <w:numPr>
          <w:ilvl w:val="0"/>
          <w:numId w:val="15"/>
        </w:numPr>
        <w:spacing w:after="160" w:line="259" w:lineRule="auto"/>
        <w:ind w:left="757"/>
        <w:jc w:val="both"/>
        <w:rPr>
          <w:rFonts w:ascii="Arial Narrow" w:hAnsi="Arial Narrow" w:cs="Arial"/>
          <w:b/>
          <w:sz w:val="28"/>
          <w:szCs w:val="28"/>
        </w:rPr>
      </w:pPr>
      <w:r w:rsidRPr="00D01E92">
        <w:rPr>
          <w:rFonts w:ascii="Arial Narrow" w:hAnsi="Arial Narrow" w:cs="Arial"/>
          <w:b/>
          <w:sz w:val="28"/>
          <w:szCs w:val="28"/>
        </w:rPr>
        <w:t>Manipulación química y física</w:t>
      </w:r>
    </w:p>
    <w:p w14:paraId="2983F96E" w14:textId="77777777" w:rsidR="00C14292" w:rsidRPr="00D01E92" w:rsidRDefault="00C14292" w:rsidP="00C14292">
      <w:pPr>
        <w:ind w:left="397"/>
        <w:jc w:val="both"/>
        <w:rPr>
          <w:rFonts w:ascii="Arial Narrow" w:hAnsi="Arial Narrow" w:cs="Arial"/>
          <w:sz w:val="28"/>
          <w:szCs w:val="28"/>
        </w:rPr>
      </w:pPr>
      <w:r w:rsidRPr="00D01E92">
        <w:rPr>
          <w:rFonts w:ascii="Arial Narrow" w:hAnsi="Arial Narrow" w:cs="Arial"/>
          <w:sz w:val="28"/>
          <w:szCs w:val="28"/>
        </w:rPr>
        <w:lastRenderedPageBreak/>
        <w:t>1. La Manipulación, o el Intento de Manipulación, con el fin de alterar la integridad y validez de las Muestras tomadas durante el Control Antidopaje. Incluye, pero no se limita a:</w:t>
      </w:r>
    </w:p>
    <w:p w14:paraId="4704C914" w14:textId="77777777" w:rsidR="00C14292" w:rsidRPr="00D01E92" w:rsidRDefault="00C14292" w:rsidP="00C14292">
      <w:pPr>
        <w:ind w:left="397"/>
        <w:jc w:val="both"/>
        <w:rPr>
          <w:rFonts w:ascii="Arial Narrow" w:hAnsi="Arial Narrow" w:cs="Arial"/>
          <w:sz w:val="28"/>
          <w:szCs w:val="28"/>
        </w:rPr>
      </w:pPr>
      <w:r w:rsidRPr="00D01E92">
        <w:rPr>
          <w:rFonts w:ascii="Arial Narrow" w:hAnsi="Arial Narrow" w:cs="Arial"/>
          <w:sz w:val="28"/>
          <w:szCs w:val="28"/>
        </w:rPr>
        <w:t>La sustitución y/o adulteración de la orina, p. ej. proteasas.</w:t>
      </w:r>
    </w:p>
    <w:p w14:paraId="1DA2CF1F" w14:textId="77777777" w:rsidR="00C14292" w:rsidRPr="00D01E92" w:rsidRDefault="00C14292" w:rsidP="00C14292">
      <w:pPr>
        <w:ind w:left="397"/>
        <w:jc w:val="both"/>
        <w:rPr>
          <w:rFonts w:ascii="Arial Narrow" w:hAnsi="Arial Narrow" w:cs="Arial"/>
          <w:sz w:val="28"/>
          <w:szCs w:val="28"/>
        </w:rPr>
      </w:pPr>
      <w:r w:rsidRPr="00D01E92">
        <w:rPr>
          <w:rFonts w:ascii="Arial Narrow" w:hAnsi="Arial Narrow" w:cs="Arial"/>
          <w:sz w:val="28"/>
          <w:szCs w:val="28"/>
        </w:rPr>
        <w:t>2. Las infusiones intravenosas y/o inyecciones de más de un total de 100 mL cada 12 horas excepto aquellas legítimamente recibidas en el curso de tratamientos hospitalarios, procedimientos quirúrgicos o exámenes diagnósticos clínicos.</w:t>
      </w:r>
    </w:p>
    <w:p w14:paraId="09F09D59" w14:textId="77777777" w:rsidR="00C14292" w:rsidRPr="00D01E92" w:rsidRDefault="00C14292" w:rsidP="00C14292">
      <w:pPr>
        <w:pStyle w:val="Prrafodelista"/>
        <w:numPr>
          <w:ilvl w:val="0"/>
          <w:numId w:val="15"/>
        </w:numPr>
        <w:spacing w:after="160" w:line="259" w:lineRule="auto"/>
        <w:ind w:left="757"/>
        <w:jc w:val="both"/>
        <w:rPr>
          <w:rFonts w:ascii="Arial Narrow" w:hAnsi="Arial Narrow" w:cs="Arial"/>
          <w:b/>
          <w:sz w:val="28"/>
          <w:szCs w:val="28"/>
        </w:rPr>
      </w:pPr>
      <w:r w:rsidRPr="00D01E92">
        <w:rPr>
          <w:rFonts w:ascii="Arial Narrow" w:hAnsi="Arial Narrow" w:cs="Arial"/>
          <w:b/>
          <w:sz w:val="28"/>
          <w:szCs w:val="28"/>
        </w:rPr>
        <w:t>Dopaje genético y de células</w:t>
      </w:r>
    </w:p>
    <w:p w14:paraId="6ED124F0" w14:textId="77777777" w:rsidR="00C14292" w:rsidRPr="00D01E92" w:rsidRDefault="00C14292" w:rsidP="00C14292">
      <w:pPr>
        <w:ind w:left="397"/>
        <w:jc w:val="both"/>
        <w:rPr>
          <w:rFonts w:ascii="Arial Narrow" w:hAnsi="Arial Narrow" w:cs="Arial"/>
          <w:sz w:val="28"/>
          <w:szCs w:val="28"/>
        </w:rPr>
      </w:pPr>
      <w:r w:rsidRPr="00D01E92">
        <w:rPr>
          <w:rFonts w:ascii="Arial Narrow" w:hAnsi="Arial Narrow" w:cs="Arial"/>
          <w:sz w:val="28"/>
          <w:szCs w:val="28"/>
        </w:rPr>
        <w:t>1. El uso de polímeros de ácidos nucleicos o análogos de ácidos nucleicos.</w:t>
      </w:r>
    </w:p>
    <w:p w14:paraId="68830192" w14:textId="77777777" w:rsidR="00C14292" w:rsidRPr="00D01E92" w:rsidRDefault="00C14292" w:rsidP="00C14292">
      <w:pPr>
        <w:ind w:left="397"/>
        <w:jc w:val="both"/>
        <w:rPr>
          <w:rFonts w:ascii="Arial Narrow" w:hAnsi="Arial Narrow" w:cs="Arial"/>
          <w:sz w:val="28"/>
          <w:szCs w:val="28"/>
        </w:rPr>
      </w:pPr>
      <w:r w:rsidRPr="00D01E92">
        <w:rPr>
          <w:rFonts w:ascii="Arial Narrow" w:hAnsi="Arial Narrow" w:cs="Arial"/>
          <w:sz w:val="28"/>
          <w:szCs w:val="28"/>
        </w:rPr>
        <w:t>2. El uso de agentes de edición genética diseñados para alterar las secuencias genómicas y/o la regulación transcripcional o epigenética de la expresión de genes.</w:t>
      </w:r>
    </w:p>
    <w:p w14:paraId="04E03DF2" w14:textId="77777777" w:rsidR="00C14292" w:rsidRPr="00D01E92" w:rsidRDefault="00C14292" w:rsidP="00C14292">
      <w:pPr>
        <w:ind w:left="397"/>
        <w:jc w:val="both"/>
        <w:rPr>
          <w:rFonts w:ascii="Arial Narrow" w:hAnsi="Arial Narrow" w:cs="Arial"/>
          <w:sz w:val="28"/>
          <w:szCs w:val="28"/>
        </w:rPr>
      </w:pPr>
      <w:r w:rsidRPr="00D01E92">
        <w:rPr>
          <w:rFonts w:ascii="Arial Narrow" w:hAnsi="Arial Narrow" w:cs="Arial"/>
          <w:sz w:val="28"/>
          <w:szCs w:val="28"/>
        </w:rPr>
        <w:t>3. El uso de células normales o genéticamente modificadas.</w:t>
      </w:r>
    </w:p>
    <w:p w14:paraId="29B522B7" w14:textId="77777777" w:rsidR="00C14292" w:rsidRPr="00D01E92" w:rsidRDefault="00C14292" w:rsidP="00C14292">
      <w:pPr>
        <w:jc w:val="both"/>
        <w:rPr>
          <w:rFonts w:ascii="Arial Narrow" w:hAnsi="Arial Narrow" w:cs="Arial"/>
          <w:b/>
          <w:sz w:val="28"/>
          <w:szCs w:val="28"/>
        </w:rPr>
      </w:pPr>
      <w:r w:rsidRPr="00D01E92">
        <w:rPr>
          <w:rFonts w:ascii="Arial Narrow" w:hAnsi="Arial Narrow" w:cs="Arial"/>
          <w:b/>
          <w:sz w:val="28"/>
          <w:szCs w:val="28"/>
        </w:rPr>
        <w:t>2. Sustancias prohibidas en competición</w:t>
      </w:r>
    </w:p>
    <w:p w14:paraId="250189FE" w14:textId="77777777" w:rsidR="00C14292" w:rsidRPr="00D01E92" w:rsidRDefault="00C14292" w:rsidP="00C14292">
      <w:pPr>
        <w:pStyle w:val="Prrafodelista"/>
        <w:numPr>
          <w:ilvl w:val="0"/>
          <w:numId w:val="15"/>
        </w:numPr>
        <w:spacing w:after="160" w:line="259" w:lineRule="auto"/>
        <w:ind w:left="757"/>
        <w:jc w:val="both"/>
        <w:rPr>
          <w:rFonts w:ascii="Arial Narrow" w:hAnsi="Arial Narrow" w:cs="Arial"/>
          <w:b/>
          <w:sz w:val="28"/>
          <w:szCs w:val="28"/>
        </w:rPr>
      </w:pPr>
      <w:r w:rsidRPr="00D01E92">
        <w:rPr>
          <w:rFonts w:ascii="Arial Narrow" w:hAnsi="Arial Narrow" w:cs="Arial"/>
          <w:b/>
          <w:sz w:val="28"/>
          <w:szCs w:val="28"/>
        </w:rPr>
        <w:t>Estimulantes</w:t>
      </w:r>
    </w:p>
    <w:p w14:paraId="4717A200" w14:textId="77777777" w:rsidR="00C14292" w:rsidRPr="00D01E92" w:rsidRDefault="00C14292" w:rsidP="00C14292">
      <w:pPr>
        <w:ind w:left="397"/>
        <w:jc w:val="both"/>
        <w:rPr>
          <w:rFonts w:ascii="Arial Narrow" w:hAnsi="Arial Narrow" w:cs="Arial"/>
          <w:sz w:val="28"/>
          <w:szCs w:val="28"/>
        </w:rPr>
      </w:pPr>
      <w:r w:rsidRPr="00D01E92">
        <w:rPr>
          <w:rFonts w:ascii="Arial Narrow" w:hAnsi="Arial Narrow" w:cs="Arial"/>
          <w:sz w:val="28"/>
          <w:szCs w:val="28"/>
        </w:rPr>
        <w:t>Adrafinilo</w:t>
      </w:r>
    </w:p>
    <w:p w14:paraId="70AEB3D6" w14:textId="77777777" w:rsidR="00C14292" w:rsidRPr="00D01E92" w:rsidRDefault="00C14292" w:rsidP="00C14292">
      <w:pPr>
        <w:ind w:left="397"/>
        <w:jc w:val="both"/>
        <w:rPr>
          <w:rFonts w:ascii="Arial Narrow" w:hAnsi="Arial Narrow" w:cs="Arial"/>
          <w:sz w:val="28"/>
          <w:szCs w:val="28"/>
        </w:rPr>
      </w:pPr>
      <w:r w:rsidRPr="00D01E92">
        <w:rPr>
          <w:rFonts w:ascii="Arial Narrow" w:hAnsi="Arial Narrow" w:cs="Arial"/>
          <w:sz w:val="28"/>
          <w:szCs w:val="28"/>
        </w:rPr>
        <w:t>Anfepramona</w:t>
      </w:r>
    </w:p>
    <w:p w14:paraId="793610C6" w14:textId="77777777" w:rsidR="00C14292" w:rsidRPr="00D01E92" w:rsidRDefault="00C14292" w:rsidP="00C14292">
      <w:pPr>
        <w:ind w:left="397"/>
        <w:jc w:val="both"/>
        <w:rPr>
          <w:rFonts w:ascii="Arial Narrow" w:hAnsi="Arial Narrow" w:cs="Arial"/>
          <w:sz w:val="28"/>
          <w:szCs w:val="28"/>
        </w:rPr>
      </w:pPr>
      <w:r w:rsidRPr="00D01E92">
        <w:rPr>
          <w:rFonts w:ascii="Arial Narrow" w:hAnsi="Arial Narrow" w:cs="Arial"/>
          <w:sz w:val="28"/>
          <w:szCs w:val="28"/>
        </w:rPr>
        <w:t>Anfetamina</w:t>
      </w:r>
    </w:p>
    <w:p w14:paraId="2A2E7BD5" w14:textId="77777777" w:rsidR="00C14292" w:rsidRPr="00D01E92" w:rsidRDefault="00C14292" w:rsidP="00C14292">
      <w:pPr>
        <w:ind w:left="397"/>
        <w:jc w:val="both"/>
        <w:rPr>
          <w:rFonts w:ascii="Arial Narrow" w:hAnsi="Arial Narrow" w:cs="Arial"/>
          <w:sz w:val="28"/>
          <w:szCs w:val="28"/>
        </w:rPr>
      </w:pPr>
      <w:r w:rsidRPr="00D01E92">
        <w:rPr>
          <w:rFonts w:ascii="Arial Narrow" w:hAnsi="Arial Narrow" w:cs="Arial"/>
          <w:sz w:val="28"/>
          <w:szCs w:val="28"/>
        </w:rPr>
        <w:t>Anfetaminilo</w:t>
      </w:r>
    </w:p>
    <w:p w14:paraId="5451769D" w14:textId="77777777" w:rsidR="00C14292" w:rsidRPr="00D01E92" w:rsidRDefault="00C14292" w:rsidP="00C14292">
      <w:pPr>
        <w:ind w:left="397"/>
        <w:jc w:val="both"/>
        <w:rPr>
          <w:rFonts w:ascii="Arial Narrow" w:hAnsi="Arial Narrow" w:cs="Arial"/>
          <w:sz w:val="28"/>
          <w:szCs w:val="28"/>
        </w:rPr>
      </w:pPr>
      <w:r w:rsidRPr="00D01E92">
        <w:rPr>
          <w:rFonts w:ascii="Arial Narrow" w:hAnsi="Arial Narrow" w:cs="Arial"/>
          <w:sz w:val="28"/>
          <w:szCs w:val="28"/>
        </w:rPr>
        <w:t>Amifenazol</w:t>
      </w:r>
    </w:p>
    <w:p w14:paraId="544055E0" w14:textId="77777777" w:rsidR="00C14292" w:rsidRPr="00D01E92" w:rsidRDefault="00C14292" w:rsidP="00C14292">
      <w:pPr>
        <w:ind w:left="397"/>
        <w:jc w:val="both"/>
        <w:rPr>
          <w:rFonts w:ascii="Arial Narrow" w:hAnsi="Arial Narrow" w:cs="Arial"/>
          <w:sz w:val="28"/>
          <w:szCs w:val="28"/>
        </w:rPr>
      </w:pPr>
      <w:r w:rsidRPr="00D01E92">
        <w:rPr>
          <w:rFonts w:ascii="Arial Narrow" w:hAnsi="Arial Narrow" w:cs="Arial"/>
          <w:sz w:val="28"/>
          <w:szCs w:val="28"/>
        </w:rPr>
        <w:t>Benfluorex</w:t>
      </w:r>
    </w:p>
    <w:p w14:paraId="432B6158" w14:textId="77777777" w:rsidR="00C14292" w:rsidRPr="00D01E92" w:rsidRDefault="00C14292" w:rsidP="00C14292">
      <w:pPr>
        <w:ind w:left="397"/>
        <w:jc w:val="both"/>
        <w:rPr>
          <w:rFonts w:ascii="Arial Narrow" w:hAnsi="Arial Narrow" w:cs="Arial"/>
          <w:sz w:val="28"/>
          <w:szCs w:val="28"/>
        </w:rPr>
      </w:pPr>
      <w:r w:rsidRPr="00D01E92">
        <w:rPr>
          <w:rFonts w:ascii="Arial Narrow" w:hAnsi="Arial Narrow" w:cs="Arial"/>
          <w:sz w:val="28"/>
          <w:szCs w:val="28"/>
        </w:rPr>
        <w:t>Benzilpiperazina</w:t>
      </w:r>
    </w:p>
    <w:p w14:paraId="7242472E" w14:textId="77777777" w:rsidR="00C14292" w:rsidRPr="00D01E92" w:rsidRDefault="00C14292" w:rsidP="00C14292">
      <w:pPr>
        <w:ind w:left="397"/>
        <w:jc w:val="both"/>
        <w:rPr>
          <w:rFonts w:ascii="Arial Narrow" w:hAnsi="Arial Narrow" w:cs="Arial"/>
          <w:sz w:val="28"/>
          <w:szCs w:val="28"/>
        </w:rPr>
      </w:pPr>
      <w:r w:rsidRPr="00D01E92">
        <w:rPr>
          <w:rFonts w:ascii="Arial Narrow" w:hAnsi="Arial Narrow" w:cs="Arial"/>
          <w:sz w:val="28"/>
          <w:szCs w:val="28"/>
        </w:rPr>
        <w:t>Bromantán</w:t>
      </w:r>
    </w:p>
    <w:p w14:paraId="73B1A439" w14:textId="77777777" w:rsidR="00C14292" w:rsidRPr="00D01E92" w:rsidRDefault="00C14292" w:rsidP="00C14292">
      <w:pPr>
        <w:ind w:left="397"/>
        <w:jc w:val="both"/>
        <w:rPr>
          <w:rFonts w:ascii="Arial Narrow" w:hAnsi="Arial Narrow" w:cs="Arial"/>
          <w:sz w:val="28"/>
          <w:szCs w:val="28"/>
        </w:rPr>
      </w:pPr>
      <w:r w:rsidRPr="00D01E92">
        <w:rPr>
          <w:rFonts w:ascii="Arial Narrow" w:hAnsi="Arial Narrow" w:cs="Arial"/>
          <w:sz w:val="28"/>
          <w:szCs w:val="28"/>
        </w:rPr>
        <w:t>Clobenzorex</w:t>
      </w:r>
    </w:p>
    <w:p w14:paraId="00F609EF" w14:textId="77777777" w:rsidR="00C14292" w:rsidRPr="00D01E92" w:rsidRDefault="00C14292" w:rsidP="00C14292">
      <w:pPr>
        <w:ind w:left="397"/>
        <w:jc w:val="both"/>
        <w:rPr>
          <w:rFonts w:ascii="Arial Narrow" w:hAnsi="Arial Narrow" w:cs="Arial"/>
          <w:sz w:val="28"/>
          <w:szCs w:val="28"/>
        </w:rPr>
      </w:pPr>
      <w:r w:rsidRPr="00D01E92">
        <w:rPr>
          <w:rFonts w:ascii="Arial Narrow" w:hAnsi="Arial Narrow" w:cs="Arial"/>
          <w:sz w:val="28"/>
          <w:szCs w:val="28"/>
        </w:rPr>
        <w:lastRenderedPageBreak/>
        <w:t>Cocaína</w:t>
      </w:r>
    </w:p>
    <w:p w14:paraId="79E7C699" w14:textId="77777777" w:rsidR="00C14292" w:rsidRPr="00D01E92" w:rsidRDefault="00C14292" w:rsidP="00C14292">
      <w:pPr>
        <w:ind w:left="397"/>
        <w:jc w:val="both"/>
        <w:rPr>
          <w:rFonts w:ascii="Arial Narrow" w:hAnsi="Arial Narrow" w:cs="Arial"/>
          <w:sz w:val="28"/>
          <w:szCs w:val="28"/>
        </w:rPr>
      </w:pPr>
      <w:r w:rsidRPr="00D01E92">
        <w:rPr>
          <w:rFonts w:ascii="Arial Narrow" w:hAnsi="Arial Narrow" w:cs="Arial"/>
          <w:sz w:val="28"/>
          <w:szCs w:val="28"/>
        </w:rPr>
        <w:t>Cropropamida</w:t>
      </w:r>
    </w:p>
    <w:p w14:paraId="4BBAE54D" w14:textId="77777777" w:rsidR="00C14292" w:rsidRPr="00D01E92" w:rsidRDefault="00C14292" w:rsidP="00C14292">
      <w:pPr>
        <w:ind w:left="397"/>
        <w:jc w:val="both"/>
        <w:rPr>
          <w:rFonts w:ascii="Arial Narrow" w:hAnsi="Arial Narrow" w:cs="Arial"/>
          <w:sz w:val="28"/>
          <w:szCs w:val="28"/>
        </w:rPr>
      </w:pPr>
      <w:r w:rsidRPr="00D01E92">
        <w:rPr>
          <w:rFonts w:ascii="Arial Narrow" w:hAnsi="Arial Narrow" w:cs="Arial"/>
          <w:sz w:val="28"/>
          <w:szCs w:val="28"/>
        </w:rPr>
        <w:t>Crotetamida</w:t>
      </w:r>
    </w:p>
    <w:p w14:paraId="5BFB9ACE" w14:textId="77777777" w:rsidR="00C14292" w:rsidRPr="00D01E92" w:rsidRDefault="00C14292" w:rsidP="00C14292">
      <w:pPr>
        <w:ind w:left="397"/>
        <w:jc w:val="both"/>
        <w:rPr>
          <w:rFonts w:ascii="Arial Narrow" w:hAnsi="Arial Narrow" w:cs="Arial"/>
          <w:sz w:val="28"/>
          <w:szCs w:val="28"/>
        </w:rPr>
      </w:pPr>
      <w:r w:rsidRPr="00D01E92">
        <w:rPr>
          <w:rFonts w:ascii="Arial Narrow" w:hAnsi="Arial Narrow" w:cs="Arial"/>
          <w:sz w:val="28"/>
          <w:szCs w:val="28"/>
        </w:rPr>
        <w:t>Fencamina</w:t>
      </w:r>
    </w:p>
    <w:p w14:paraId="5E6EB6E3" w14:textId="77777777" w:rsidR="00C14292" w:rsidRPr="00D01E92" w:rsidRDefault="00C14292" w:rsidP="00C14292">
      <w:pPr>
        <w:ind w:left="397"/>
        <w:jc w:val="both"/>
        <w:rPr>
          <w:rFonts w:ascii="Arial Narrow" w:hAnsi="Arial Narrow" w:cs="Arial"/>
          <w:sz w:val="28"/>
          <w:szCs w:val="28"/>
        </w:rPr>
      </w:pPr>
      <w:r w:rsidRPr="00D01E92">
        <w:rPr>
          <w:rFonts w:ascii="Arial Narrow" w:hAnsi="Arial Narrow" w:cs="Arial"/>
          <w:sz w:val="28"/>
          <w:szCs w:val="28"/>
        </w:rPr>
        <w:t>Fendimetrazina</w:t>
      </w:r>
    </w:p>
    <w:p w14:paraId="586B0B70" w14:textId="77777777" w:rsidR="00C14292" w:rsidRPr="00D01E92" w:rsidRDefault="00C14292" w:rsidP="00C14292">
      <w:pPr>
        <w:ind w:left="397"/>
        <w:jc w:val="both"/>
        <w:rPr>
          <w:rFonts w:ascii="Arial Narrow" w:hAnsi="Arial Narrow" w:cs="Arial"/>
          <w:sz w:val="28"/>
          <w:szCs w:val="28"/>
        </w:rPr>
      </w:pPr>
      <w:r w:rsidRPr="00D01E92">
        <w:rPr>
          <w:rFonts w:ascii="Arial Narrow" w:hAnsi="Arial Narrow" w:cs="Arial"/>
          <w:sz w:val="28"/>
          <w:szCs w:val="28"/>
        </w:rPr>
        <w:t>Fenetilina</w:t>
      </w:r>
    </w:p>
    <w:p w14:paraId="1DA2B3E3" w14:textId="77777777" w:rsidR="00C14292" w:rsidRPr="00D01E92" w:rsidRDefault="00C14292" w:rsidP="00C14292">
      <w:pPr>
        <w:ind w:left="397"/>
        <w:jc w:val="both"/>
        <w:rPr>
          <w:rFonts w:ascii="Arial Narrow" w:hAnsi="Arial Narrow" w:cs="Arial"/>
          <w:sz w:val="28"/>
          <w:szCs w:val="28"/>
        </w:rPr>
      </w:pPr>
      <w:r w:rsidRPr="00D01E92">
        <w:rPr>
          <w:rFonts w:ascii="Arial Narrow" w:hAnsi="Arial Narrow" w:cs="Arial"/>
          <w:sz w:val="28"/>
          <w:szCs w:val="28"/>
        </w:rPr>
        <w:t>Fenfluramina</w:t>
      </w:r>
    </w:p>
    <w:p w14:paraId="05DBCA09" w14:textId="77777777" w:rsidR="00C14292" w:rsidRPr="00D01E92" w:rsidRDefault="00C14292" w:rsidP="00C14292">
      <w:pPr>
        <w:ind w:left="397"/>
        <w:jc w:val="both"/>
        <w:rPr>
          <w:rFonts w:ascii="Arial Narrow" w:hAnsi="Arial Narrow" w:cs="Arial"/>
          <w:sz w:val="28"/>
          <w:szCs w:val="28"/>
        </w:rPr>
      </w:pPr>
      <w:r w:rsidRPr="00D01E92">
        <w:rPr>
          <w:rFonts w:ascii="Arial Narrow" w:hAnsi="Arial Narrow" w:cs="Arial"/>
          <w:sz w:val="28"/>
          <w:szCs w:val="28"/>
        </w:rPr>
        <w:t>Fenproporex , [4-phenylpiracetam (carphedon)];</w:t>
      </w:r>
    </w:p>
    <w:p w14:paraId="5BE26215" w14:textId="77777777" w:rsidR="00C14292" w:rsidRPr="00D01E92" w:rsidRDefault="00C14292" w:rsidP="00C14292">
      <w:pPr>
        <w:ind w:left="397"/>
        <w:jc w:val="both"/>
        <w:rPr>
          <w:rFonts w:ascii="Arial Narrow" w:hAnsi="Arial Narrow" w:cs="Arial"/>
          <w:sz w:val="28"/>
          <w:szCs w:val="28"/>
        </w:rPr>
      </w:pPr>
      <w:r w:rsidRPr="00D01E92">
        <w:rPr>
          <w:rFonts w:ascii="Arial Narrow" w:hAnsi="Arial Narrow" w:cs="Arial"/>
          <w:sz w:val="28"/>
          <w:szCs w:val="28"/>
        </w:rPr>
        <w:t>Fentermina</w:t>
      </w:r>
    </w:p>
    <w:p w14:paraId="16D99CEB" w14:textId="77777777" w:rsidR="00C14292" w:rsidRPr="00D01E92" w:rsidRDefault="00C14292" w:rsidP="00C14292">
      <w:pPr>
        <w:ind w:left="397"/>
        <w:jc w:val="both"/>
        <w:rPr>
          <w:rFonts w:ascii="Arial Narrow" w:hAnsi="Arial Narrow" w:cs="Arial"/>
          <w:sz w:val="28"/>
          <w:szCs w:val="28"/>
        </w:rPr>
      </w:pPr>
      <w:r w:rsidRPr="00D01E92">
        <w:rPr>
          <w:rFonts w:ascii="Arial Narrow" w:hAnsi="Arial Narrow" w:cs="Arial"/>
          <w:sz w:val="28"/>
          <w:szCs w:val="28"/>
        </w:rPr>
        <w:t>Fonturacetam [4-fenilpiracetam (carfedón)]</w:t>
      </w:r>
    </w:p>
    <w:p w14:paraId="35659C51" w14:textId="77777777" w:rsidR="00C14292" w:rsidRPr="00D01E92" w:rsidRDefault="00C14292" w:rsidP="00C14292">
      <w:pPr>
        <w:ind w:left="397"/>
        <w:jc w:val="both"/>
        <w:rPr>
          <w:rFonts w:ascii="Arial Narrow" w:hAnsi="Arial Narrow" w:cs="Arial"/>
          <w:sz w:val="28"/>
          <w:szCs w:val="28"/>
        </w:rPr>
      </w:pPr>
      <w:r w:rsidRPr="00D01E92">
        <w:rPr>
          <w:rFonts w:ascii="Arial Narrow" w:hAnsi="Arial Narrow" w:cs="Arial"/>
          <w:sz w:val="28"/>
          <w:szCs w:val="28"/>
        </w:rPr>
        <w:t>Furfenorex</w:t>
      </w:r>
    </w:p>
    <w:p w14:paraId="162AAB11" w14:textId="77777777" w:rsidR="00C14292" w:rsidRPr="00D01E92" w:rsidRDefault="00C14292" w:rsidP="00C14292">
      <w:pPr>
        <w:ind w:left="397"/>
        <w:jc w:val="both"/>
        <w:rPr>
          <w:rFonts w:ascii="Arial Narrow" w:hAnsi="Arial Narrow" w:cs="Arial"/>
          <w:sz w:val="28"/>
          <w:szCs w:val="28"/>
        </w:rPr>
      </w:pPr>
      <w:r w:rsidRPr="00D01E92">
        <w:rPr>
          <w:rFonts w:ascii="Arial Narrow" w:hAnsi="Arial Narrow" w:cs="Arial"/>
          <w:sz w:val="28"/>
          <w:szCs w:val="28"/>
        </w:rPr>
        <w:t>Lisdexamfetamina</w:t>
      </w:r>
    </w:p>
    <w:p w14:paraId="7DF16445" w14:textId="77777777" w:rsidR="00C14292" w:rsidRPr="00D01E92" w:rsidRDefault="00C14292" w:rsidP="00C14292">
      <w:pPr>
        <w:ind w:left="397"/>
        <w:jc w:val="both"/>
        <w:rPr>
          <w:rFonts w:ascii="Arial Narrow" w:hAnsi="Arial Narrow" w:cs="Arial"/>
          <w:sz w:val="28"/>
          <w:szCs w:val="28"/>
        </w:rPr>
      </w:pPr>
      <w:r w:rsidRPr="00D01E92">
        <w:rPr>
          <w:rFonts w:ascii="Arial Narrow" w:hAnsi="Arial Narrow" w:cs="Arial"/>
          <w:sz w:val="28"/>
          <w:szCs w:val="28"/>
        </w:rPr>
        <w:t>Mefenorex</w:t>
      </w:r>
    </w:p>
    <w:p w14:paraId="30A094A4" w14:textId="77777777" w:rsidR="00C14292" w:rsidRPr="00D01E92" w:rsidRDefault="00C14292" w:rsidP="00C14292">
      <w:pPr>
        <w:ind w:left="397"/>
        <w:jc w:val="both"/>
        <w:rPr>
          <w:rFonts w:ascii="Arial Narrow" w:hAnsi="Arial Narrow" w:cs="Arial"/>
          <w:sz w:val="28"/>
          <w:szCs w:val="28"/>
        </w:rPr>
      </w:pPr>
      <w:r w:rsidRPr="00D01E92">
        <w:rPr>
          <w:rFonts w:ascii="Arial Narrow" w:hAnsi="Arial Narrow" w:cs="Arial"/>
          <w:sz w:val="28"/>
          <w:szCs w:val="28"/>
        </w:rPr>
        <w:t>Mefentermina</w:t>
      </w:r>
    </w:p>
    <w:p w14:paraId="1B732EDF" w14:textId="77777777" w:rsidR="00C14292" w:rsidRPr="00D01E92" w:rsidRDefault="00C14292" w:rsidP="00C14292">
      <w:pPr>
        <w:ind w:left="397"/>
        <w:jc w:val="both"/>
        <w:rPr>
          <w:rFonts w:ascii="Arial Narrow" w:hAnsi="Arial Narrow" w:cs="Arial"/>
          <w:sz w:val="28"/>
          <w:szCs w:val="28"/>
        </w:rPr>
      </w:pPr>
      <w:r w:rsidRPr="00D01E92">
        <w:rPr>
          <w:rFonts w:ascii="Arial Narrow" w:hAnsi="Arial Narrow" w:cs="Arial"/>
          <w:sz w:val="28"/>
          <w:szCs w:val="28"/>
        </w:rPr>
        <w:t>Mesocarbo</w:t>
      </w:r>
    </w:p>
    <w:p w14:paraId="2CD9EBF1" w14:textId="77777777" w:rsidR="00C14292" w:rsidRPr="00D01E92" w:rsidRDefault="00C14292" w:rsidP="00C14292">
      <w:pPr>
        <w:ind w:left="397"/>
        <w:jc w:val="both"/>
        <w:rPr>
          <w:rFonts w:ascii="Arial Narrow" w:hAnsi="Arial Narrow" w:cs="Arial"/>
          <w:sz w:val="28"/>
          <w:szCs w:val="28"/>
        </w:rPr>
      </w:pPr>
      <w:r w:rsidRPr="00D01E92">
        <w:rPr>
          <w:rFonts w:ascii="Arial Narrow" w:hAnsi="Arial Narrow" w:cs="Arial"/>
          <w:sz w:val="28"/>
          <w:szCs w:val="28"/>
        </w:rPr>
        <w:t>Metanfetamina (d-)</w:t>
      </w:r>
    </w:p>
    <w:p w14:paraId="3F3D489A" w14:textId="77777777" w:rsidR="00C14292" w:rsidRPr="00D01E92" w:rsidRDefault="00C14292" w:rsidP="00C14292">
      <w:pPr>
        <w:ind w:left="397"/>
        <w:jc w:val="both"/>
        <w:rPr>
          <w:rFonts w:ascii="Arial Narrow" w:hAnsi="Arial Narrow" w:cs="Arial"/>
          <w:sz w:val="28"/>
          <w:szCs w:val="28"/>
        </w:rPr>
      </w:pPr>
      <w:r w:rsidRPr="00D01E92">
        <w:rPr>
          <w:rFonts w:ascii="Arial Narrow" w:hAnsi="Arial Narrow" w:cs="Arial"/>
          <w:sz w:val="28"/>
          <w:szCs w:val="28"/>
        </w:rPr>
        <w:t>p-metilanfetamina</w:t>
      </w:r>
    </w:p>
    <w:p w14:paraId="2D1723CC" w14:textId="77777777" w:rsidR="00C14292" w:rsidRPr="00D01E92" w:rsidRDefault="00C14292" w:rsidP="00C14292">
      <w:pPr>
        <w:ind w:left="397"/>
        <w:jc w:val="both"/>
        <w:rPr>
          <w:rFonts w:ascii="Arial Narrow" w:hAnsi="Arial Narrow" w:cs="Arial"/>
          <w:sz w:val="28"/>
          <w:szCs w:val="28"/>
        </w:rPr>
      </w:pPr>
      <w:r w:rsidRPr="00D01E92">
        <w:rPr>
          <w:rFonts w:ascii="Arial Narrow" w:hAnsi="Arial Narrow" w:cs="Arial"/>
          <w:sz w:val="28"/>
          <w:szCs w:val="28"/>
        </w:rPr>
        <w:t>Modafinilo</w:t>
      </w:r>
    </w:p>
    <w:p w14:paraId="6BC51981" w14:textId="77777777" w:rsidR="00C14292" w:rsidRPr="00D01E92" w:rsidRDefault="00C14292" w:rsidP="00C14292">
      <w:pPr>
        <w:ind w:left="397"/>
        <w:jc w:val="both"/>
        <w:rPr>
          <w:rFonts w:ascii="Arial Narrow" w:hAnsi="Arial Narrow" w:cs="Arial"/>
          <w:sz w:val="28"/>
          <w:szCs w:val="28"/>
        </w:rPr>
      </w:pPr>
      <w:r w:rsidRPr="00D01E92">
        <w:rPr>
          <w:rFonts w:ascii="Arial Narrow" w:hAnsi="Arial Narrow" w:cs="Arial"/>
          <w:sz w:val="28"/>
          <w:szCs w:val="28"/>
        </w:rPr>
        <w:t>Norfenfluramina</w:t>
      </w:r>
    </w:p>
    <w:p w14:paraId="03706640" w14:textId="77777777" w:rsidR="00C14292" w:rsidRPr="00D01E92" w:rsidRDefault="00C14292" w:rsidP="00C14292">
      <w:pPr>
        <w:ind w:left="397"/>
        <w:jc w:val="both"/>
        <w:rPr>
          <w:rFonts w:ascii="Arial Narrow" w:hAnsi="Arial Narrow" w:cs="Arial"/>
          <w:sz w:val="28"/>
          <w:szCs w:val="28"/>
        </w:rPr>
      </w:pPr>
      <w:r w:rsidRPr="00D01E92">
        <w:rPr>
          <w:rFonts w:ascii="Arial Narrow" w:hAnsi="Arial Narrow" w:cs="Arial"/>
          <w:sz w:val="28"/>
          <w:szCs w:val="28"/>
        </w:rPr>
        <w:t>Prenilamina</w:t>
      </w:r>
    </w:p>
    <w:p w14:paraId="0A0F4672" w14:textId="77777777" w:rsidR="00C14292" w:rsidRPr="00D01E92" w:rsidRDefault="00C14292" w:rsidP="00C14292">
      <w:pPr>
        <w:ind w:left="397"/>
        <w:jc w:val="both"/>
        <w:rPr>
          <w:rFonts w:ascii="Arial Narrow" w:hAnsi="Arial Narrow" w:cs="Arial"/>
          <w:sz w:val="28"/>
          <w:szCs w:val="28"/>
        </w:rPr>
      </w:pPr>
      <w:r w:rsidRPr="00D01E92">
        <w:rPr>
          <w:rFonts w:ascii="Arial Narrow" w:hAnsi="Arial Narrow" w:cs="Arial"/>
          <w:sz w:val="28"/>
          <w:szCs w:val="28"/>
        </w:rPr>
        <w:t>Prolintano</w:t>
      </w:r>
    </w:p>
    <w:p w14:paraId="070E48CD" w14:textId="77777777" w:rsidR="00C14292" w:rsidRPr="00D01E92" w:rsidRDefault="00C14292" w:rsidP="00C14292">
      <w:pPr>
        <w:jc w:val="both"/>
        <w:rPr>
          <w:rFonts w:ascii="Arial Narrow" w:hAnsi="Arial Narrow" w:cs="Arial"/>
          <w:sz w:val="28"/>
          <w:szCs w:val="28"/>
        </w:rPr>
      </w:pPr>
    </w:p>
    <w:p w14:paraId="4A0B9B97" w14:textId="77777777" w:rsidR="00C14292" w:rsidRPr="00D01E92" w:rsidRDefault="00C14292" w:rsidP="00C14292">
      <w:pPr>
        <w:pStyle w:val="Prrafodelista"/>
        <w:numPr>
          <w:ilvl w:val="0"/>
          <w:numId w:val="15"/>
        </w:numPr>
        <w:spacing w:after="0" w:line="259" w:lineRule="auto"/>
        <w:ind w:left="757"/>
        <w:jc w:val="both"/>
        <w:rPr>
          <w:rFonts w:ascii="Arial Narrow" w:hAnsi="Arial Narrow" w:cs="Arial"/>
          <w:sz w:val="28"/>
          <w:szCs w:val="28"/>
        </w:rPr>
      </w:pPr>
      <w:r w:rsidRPr="00D01E92">
        <w:rPr>
          <w:rFonts w:ascii="Arial Narrow" w:hAnsi="Arial Narrow" w:cs="Arial"/>
          <w:b/>
          <w:sz w:val="28"/>
          <w:szCs w:val="28"/>
        </w:rPr>
        <w:t>Narcóticos</w:t>
      </w:r>
    </w:p>
    <w:p w14:paraId="3A5CD5C2" w14:textId="77777777" w:rsidR="00C14292" w:rsidRPr="00D01E92" w:rsidRDefault="00C14292" w:rsidP="00C14292">
      <w:pPr>
        <w:ind w:left="397"/>
        <w:jc w:val="both"/>
        <w:rPr>
          <w:rFonts w:ascii="Arial Narrow" w:hAnsi="Arial Narrow" w:cs="Arial"/>
          <w:sz w:val="28"/>
          <w:szCs w:val="28"/>
        </w:rPr>
      </w:pPr>
      <w:r w:rsidRPr="00D01E92">
        <w:rPr>
          <w:rFonts w:ascii="Arial Narrow" w:hAnsi="Arial Narrow" w:cs="Arial"/>
          <w:sz w:val="28"/>
          <w:szCs w:val="28"/>
        </w:rPr>
        <w:t>Buprenorfina</w:t>
      </w:r>
    </w:p>
    <w:p w14:paraId="16814E84" w14:textId="77777777" w:rsidR="00C14292" w:rsidRPr="00D01E92" w:rsidRDefault="00C14292" w:rsidP="00C14292">
      <w:pPr>
        <w:ind w:left="397"/>
        <w:jc w:val="both"/>
        <w:rPr>
          <w:rFonts w:ascii="Arial Narrow" w:hAnsi="Arial Narrow" w:cs="Arial"/>
          <w:sz w:val="28"/>
          <w:szCs w:val="28"/>
        </w:rPr>
      </w:pPr>
      <w:r w:rsidRPr="00D01E92">
        <w:rPr>
          <w:rFonts w:ascii="Arial Narrow" w:hAnsi="Arial Narrow" w:cs="Arial"/>
          <w:sz w:val="28"/>
          <w:szCs w:val="28"/>
        </w:rPr>
        <w:t>Dextromoramida</w:t>
      </w:r>
    </w:p>
    <w:p w14:paraId="79ADEC06" w14:textId="77777777" w:rsidR="00C14292" w:rsidRPr="00D01E92" w:rsidRDefault="00C14292" w:rsidP="00C14292">
      <w:pPr>
        <w:ind w:left="397"/>
        <w:jc w:val="both"/>
        <w:rPr>
          <w:rFonts w:ascii="Arial Narrow" w:hAnsi="Arial Narrow" w:cs="Arial"/>
          <w:sz w:val="28"/>
          <w:szCs w:val="28"/>
        </w:rPr>
      </w:pPr>
      <w:r w:rsidRPr="00D01E92">
        <w:rPr>
          <w:rFonts w:ascii="Arial Narrow" w:hAnsi="Arial Narrow" w:cs="Arial"/>
          <w:sz w:val="28"/>
          <w:szCs w:val="28"/>
        </w:rPr>
        <w:t>Diamorfina (heroína)</w:t>
      </w:r>
    </w:p>
    <w:p w14:paraId="2044ACB9" w14:textId="77777777" w:rsidR="00C14292" w:rsidRPr="00D01E92" w:rsidRDefault="00C14292" w:rsidP="00C14292">
      <w:pPr>
        <w:ind w:left="397"/>
        <w:jc w:val="both"/>
        <w:rPr>
          <w:rFonts w:ascii="Arial Narrow" w:hAnsi="Arial Narrow" w:cs="Arial"/>
          <w:sz w:val="28"/>
          <w:szCs w:val="28"/>
        </w:rPr>
      </w:pPr>
      <w:r w:rsidRPr="00D01E92">
        <w:rPr>
          <w:rFonts w:ascii="Arial Narrow" w:hAnsi="Arial Narrow" w:cs="Arial"/>
          <w:sz w:val="28"/>
          <w:szCs w:val="28"/>
        </w:rPr>
        <w:t>Fentanil , y sus derivados;</w:t>
      </w:r>
    </w:p>
    <w:p w14:paraId="05A30981" w14:textId="77777777" w:rsidR="00C14292" w:rsidRPr="00D01E92" w:rsidRDefault="00C14292" w:rsidP="00C14292">
      <w:pPr>
        <w:ind w:left="397"/>
        <w:jc w:val="both"/>
        <w:rPr>
          <w:rFonts w:ascii="Arial Narrow" w:hAnsi="Arial Narrow" w:cs="Arial"/>
          <w:sz w:val="28"/>
          <w:szCs w:val="28"/>
        </w:rPr>
      </w:pPr>
      <w:r w:rsidRPr="00D01E92">
        <w:rPr>
          <w:rFonts w:ascii="Arial Narrow" w:hAnsi="Arial Narrow" w:cs="Arial"/>
          <w:sz w:val="28"/>
          <w:szCs w:val="28"/>
        </w:rPr>
        <w:t>Hidromorfona</w:t>
      </w:r>
    </w:p>
    <w:p w14:paraId="5AB05A9A" w14:textId="77777777" w:rsidR="00C14292" w:rsidRPr="00D01E92" w:rsidRDefault="00C14292" w:rsidP="00C14292">
      <w:pPr>
        <w:ind w:left="397"/>
        <w:jc w:val="both"/>
        <w:rPr>
          <w:rFonts w:ascii="Arial Narrow" w:hAnsi="Arial Narrow" w:cs="Arial"/>
          <w:sz w:val="28"/>
          <w:szCs w:val="28"/>
        </w:rPr>
      </w:pPr>
      <w:r w:rsidRPr="00D01E92">
        <w:rPr>
          <w:rFonts w:ascii="Arial Narrow" w:hAnsi="Arial Narrow" w:cs="Arial"/>
          <w:sz w:val="28"/>
          <w:szCs w:val="28"/>
        </w:rPr>
        <w:t>Metadona</w:t>
      </w:r>
    </w:p>
    <w:p w14:paraId="3A909D63" w14:textId="77777777" w:rsidR="00C14292" w:rsidRPr="00D01E92" w:rsidRDefault="00C14292" w:rsidP="00C14292">
      <w:pPr>
        <w:ind w:left="397"/>
        <w:jc w:val="both"/>
        <w:rPr>
          <w:rFonts w:ascii="Arial Narrow" w:hAnsi="Arial Narrow" w:cs="Arial"/>
          <w:sz w:val="28"/>
          <w:szCs w:val="28"/>
        </w:rPr>
      </w:pPr>
      <w:r w:rsidRPr="00D01E92">
        <w:rPr>
          <w:rFonts w:ascii="Arial Narrow" w:hAnsi="Arial Narrow" w:cs="Arial"/>
          <w:sz w:val="28"/>
          <w:szCs w:val="28"/>
        </w:rPr>
        <w:t>Morfina</w:t>
      </w:r>
    </w:p>
    <w:p w14:paraId="58F2B7D4" w14:textId="77777777" w:rsidR="00C14292" w:rsidRPr="00D01E92" w:rsidRDefault="00C14292" w:rsidP="00C14292">
      <w:pPr>
        <w:ind w:left="397"/>
        <w:jc w:val="both"/>
        <w:rPr>
          <w:rFonts w:ascii="Arial Narrow" w:hAnsi="Arial Narrow" w:cs="Arial"/>
          <w:sz w:val="28"/>
          <w:szCs w:val="28"/>
        </w:rPr>
      </w:pPr>
      <w:r w:rsidRPr="00D01E92">
        <w:rPr>
          <w:rFonts w:ascii="Arial Narrow" w:hAnsi="Arial Narrow" w:cs="Arial"/>
          <w:sz w:val="28"/>
          <w:szCs w:val="28"/>
        </w:rPr>
        <w:t>Nicomorfina</w:t>
      </w:r>
    </w:p>
    <w:p w14:paraId="72832A30" w14:textId="77777777" w:rsidR="00C14292" w:rsidRPr="00D01E92" w:rsidRDefault="00C14292" w:rsidP="00C14292">
      <w:pPr>
        <w:ind w:left="397"/>
        <w:jc w:val="both"/>
        <w:rPr>
          <w:rFonts w:ascii="Arial Narrow" w:hAnsi="Arial Narrow" w:cs="Arial"/>
          <w:sz w:val="28"/>
          <w:szCs w:val="28"/>
        </w:rPr>
      </w:pPr>
      <w:r w:rsidRPr="00D01E92">
        <w:rPr>
          <w:rFonts w:ascii="Arial Narrow" w:hAnsi="Arial Narrow" w:cs="Arial"/>
          <w:sz w:val="28"/>
          <w:szCs w:val="28"/>
        </w:rPr>
        <w:t>Oxicodona</w:t>
      </w:r>
    </w:p>
    <w:p w14:paraId="2CF65C0A" w14:textId="77777777" w:rsidR="00C14292" w:rsidRPr="00D01E92" w:rsidRDefault="00C14292" w:rsidP="00C14292">
      <w:pPr>
        <w:ind w:left="397"/>
        <w:jc w:val="both"/>
        <w:rPr>
          <w:rFonts w:ascii="Arial Narrow" w:hAnsi="Arial Narrow" w:cs="Arial"/>
          <w:sz w:val="28"/>
          <w:szCs w:val="28"/>
        </w:rPr>
      </w:pPr>
      <w:r w:rsidRPr="00D01E92">
        <w:rPr>
          <w:rFonts w:ascii="Arial Narrow" w:hAnsi="Arial Narrow" w:cs="Arial"/>
          <w:sz w:val="28"/>
          <w:szCs w:val="28"/>
        </w:rPr>
        <w:t>Oximorfona</w:t>
      </w:r>
    </w:p>
    <w:p w14:paraId="0235B4FE" w14:textId="77777777" w:rsidR="00C14292" w:rsidRPr="00D01E92" w:rsidRDefault="00C14292" w:rsidP="00C14292">
      <w:pPr>
        <w:ind w:left="397"/>
        <w:jc w:val="both"/>
        <w:rPr>
          <w:rFonts w:ascii="Arial Narrow" w:hAnsi="Arial Narrow" w:cs="Arial"/>
          <w:sz w:val="28"/>
          <w:szCs w:val="28"/>
        </w:rPr>
      </w:pPr>
      <w:r w:rsidRPr="00D01E92">
        <w:rPr>
          <w:rFonts w:ascii="Arial Narrow" w:hAnsi="Arial Narrow" w:cs="Arial"/>
          <w:sz w:val="28"/>
          <w:szCs w:val="28"/>
        </w:rPr>
        <w:t>Pentazocina</w:t>
      </w:r>
    </w:p>
    <w:p w14:paraId="616D2114" w14:textId="77777777" w:rsidR="00C14292" w:rsidRPr="00D01E92" w:rsidRDefault="00C14292" w:rsidP="00C14292">
      <w:pPr>
        <w:ind w:left="397"/>
        <w:jc w:val="both"/>
        <w:rPr>
          <w:rFonts w:ascii="Arial Narrow" w:hAnsi="Arial Narrow" w:cs="Arial"/>
          <w:sz w:val="28"/>
          <w:szCs w:val="28"/>
        </w:rPr>
      </w:pPr>
      <w:r w:rsidRPr="00D01E92">
        <w:rPr>
          <w:rFonts w:ascii="Arial Narrow" w:hAnsi="Arial Narrow" w:cs="Arial"/>
          <w:sz w:val="28"/>
          <w:szCs w:val="28"/>
        </w:rPr>
        <w:t>Petidina</w:t>
      </w:r>
    </w:p>
    <w:p w14:paraId="329AEDEF" w14:textId="77777777" w:rsidR="00C14292" w:rsidRPr="00D01E92" w:rsidRDefault="00C14292" w:rsidP="00C14292">
      <w:pPr>
        <w:ind w:left="397"/>
        <w:jc w:val="both"/>
        <w:rPr>
          <w:rFonts w:ascii="Arial Narrow" w:hAnsi="Arial Narrow" w:cs="Arial"/>
          <w:sz w:val="28"/>
          <w:szCs w:val="28"/>
        </w:rPr>
      </w:pPr>
    </w:p>
    <w:p w14:paraId="7CA6C95B" w14:textId="77777777" w:rsidR="00C14292" w:rsidRPr="00D01E92" w:rsidRDefault="00C14292" w:rsidP="00C14292">
      <w:pPr>
        <w:pStyle w:val="Prrafodelista"/>
        <w:numPr>
          <w:ilvl w:val="0"/>
          <w:numId w:val="15"/>
        </w:numPr>
        <w:spacing w:after="0" w:line="259" w:lineRule="auto"/>
        <w:ind w:left="757"/>
        <w:jc w:val="both"/>
        <w:rPr>
          <w:rFonts w:ascii="Arial Narrow" w:hAnsi="Arial Narrow" w:cs="Arial"/>
          <w:b/>
          <w:sz w:val="28"/>
          <w:szCs w:val="28"/>
        </w:rPr>
      </w:pPr>
      <w:r w:rsidRPr="00D01E92">
        <w:rPr>
          <w:rFonts w:ascii="Arial Narrow" w:hAnsi="Arial Narrow" w:cs="Arial"/>
          <w:b/>
          <w:sz w:val="28"/>
          <w:szCs w:val="28"/>
        </w:rPr>
        <w:t>Canabinoides</w:t>
      </w:r>
    </w:p>
    <w:p w14:paraId="2587989A" w14:textId="77777777" w:rsidR="00C14292" w:rsidRPr="00D01E92" w:rsidRDefault="00C14292" w:rsidP="00C14292">
      <w:pPr>
        <w:pStyle w:val="Prrafodelista"/>
        <w:ind w:left="757"/>
        <w:jc w:val="both"/>
        <w:rPr>
          <w:rFonts w:ascii="Arial Narrow" w:hAnsi="Arial Narrow" w:cs="Arial"/>
          <w:b/>
          <w:sz w:val="28"/>
          <w:szCs w:val="28"/>
        </w:rPr>
      </w:pPr>
      <w:r w:rsidRPr="00D01E92">
        <w:rPr>
          <w:rFonts w:ascii="Arial Narrow" w:hAnsi="Arial Narrow" w:cs="Arial"/>
          <w:b/>
          <w:sz w:val="28"/>
          <w:szCs w:val="28"/>
        </w:rPr>
        <w:t xml:space="preserve">Canabinoides naturales, </w:t>
      </w:r>
      <w:r w:rsidRPr="00D01E92">
        <w:rPr>
          <w:rFonts w:ascii="Arial Narrow" w:hAnsi="Arial Narrow" w:cs="Arial"/>
          <w:sz w:val="28"/>
          <w:szCs w:val="28"/>
        </w:rPr>
        <w:t>p.ej. canabis, hachís y marihuana,</w:t>
      </w:r>
      <w:r w:rsidRPr="00D01E92">
        <w:rPr>
          <w:rFonts w:ascii="Arial Narrow" w:hAnsi="Arial Narrow" w:cs="Arial"/>
          <w:b/>
          <w:sz w:val="28"/>
          <w:szCs w:val="28"/>
        </w:rPr>
        <w:t xml:space="preserve">  </w:t>
      </w:r>
    </w:p>
    <w:p w14:paraId="5DF61F30"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b/>
          <w:sz w:val="28"/>
          <w:szCs w:val="28"/>
        </w:rPr>
        <w:t xml:space="preserve">Canabinoides sintéticos </w:t>
      </w:r>
      <w:r w:rsidRPr="00D01E92">
        <w:rPr>
          <w:rFonts w:ascii="Arial Narrow" w:hAnsi="Arial Narrow" w:cs="Arial"/>
          <w:sz w:val="28"/>
          <w:szCs w:val="28"/>
        </w:rPr>
        <w:t>por ej. Δ9-tetrahidrocanabinol (THC) y otros canabimiméticos,</w:t>
      </w:r>
    </w:p>
    <w:p w14:paraId="46176D12" w14:textId="77777777" w:rsidR="00C14292" w:rsidRPr="00D01E92" w:rsidRDefault="00C14292" w:rsidP="00C14292">
      <w:pPr>
        <w:pStyle w:val="Prrafodelista"/>
        <w:ind w:left="757"/>
        <w:jc w:val="both"/>
        <w:rPr>
          <w:rFonts w:ascii="Arial Narrow" w:hAnsi="Arial Narrow" w:cs="Arial"/>
          <w:b/>
          <w:sz w:val="28"/>
          <w:szCs w:val="28"/>
        </w:rPr>
      </w:pPr>
    </w:p>
    <w:p w14:paraId="0BC03651" w14:textId="77777777" w:rsidR="00C14292" w:rsidRPr="00D01E92" w:rsidRDefault="00C14292" w:rsidP="00C14292">
      <w:pPr>
        <w:pStyle w:val="Prrafodelista"/>
        <w:numPr>
          <w:ilvl w:val="0"/>
          <w:numId w:val="15"/>
        </w:numPr>
        <w:spacing w:after="0" w:line="259" w:lineRule="auto"/>
        <w:ind w:left="757"/>
        <w:jc w:val="both"/>
        <w:rPr>
          <w:rFonts w:ascii="Arial Narrow" w:hAnsi="Arial Narrow" w:cs="Arial"/>
          <w:b/>
          <w:sz w:val="28"/>
          <w:szCs w:val="28"/>
        </w:rPr>
      </w:pPr>
      <w:r w:rsidRPr="00D01E92">
        <w:rPr>
          <w:rFonts w:ascii="Arial Narrow" w:hAnsi="Arial Narrow" w:cs="Arial"/>
          <w:b/>
          <w:sz w:val="28"/>
          <w:szCs w:val="28"/>
        </w:rPr>
        <w:t>Glucocorticoides</w:t>
      </w:r>
    </w:p>
    <w:p w14:paraId="67F06EAE"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Betametasona</w:t>
      </w:r>
    </w:p>
    <w:p w14:paraId="0DD2FE54"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Budesonida</w:t>
      </w:r>
    </w:p>
    <w:p w14:paraId="72738C51"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Cortisona</w:t>
      </w:r>
    </w:p>
    <w:p w14:paraId="55DAFB48"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Deflazacort</w:t>
      </w:r>
    </w:p>
    <w:p w14:paraId="4CE6DCBC"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lastRenderedPageBreak/>
        <w:t>Dexametasona</w:t>
      </w:r>
    </w:p>
    <w:p w14:paraId="4FAF017F"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Fluticasona</w:t>
      </w:r>
    </w:p>
    <w:p w14:paraId="07D93FE1"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Hidrocortisona</w:t>
      </w:r>
    </w:p>
    <w:p w14:paraId="34744CF1"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Metilprednisolona</w:t>
      </w:r>
    </w:p>
    <w:p w14:paraId="6CB887D9"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Prednisolona</w:t>
      </w:r>
    </w:p>
    <w:p w14:paraId="7E4088EA"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Prednisona</w:t>
      </w:r>
    </w:p>
    <w:p w14:paraId="0CD1673B"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Triamcinolona</w:t>
      </w:r>
    </w:p>
    <w:p w14:paraId="5871FD67" w14:textId="77777777" w:rsidR="00C14292" w:rsidRPr="00D01E92" w:rsidRDefault="00C14292" w:rsidP="00C14292">
      <w:pPr>
        <w:jc w:val="both"/>
        <w:rPr>
          <w:rFonts w:ascii="Arial Narrow" w:hAnsi="Arial Narrow" w:cs="Arial"/>
          <w:sz w:val="28"/>
          <w:szCs w:val="28"/>
        </w:rPr>
      </w:pPr>
    </w:p>
    <w:p w14:paraId="28133063" w14:textId="77777777" w:rsidR="00C14292" w:rsidRPr="00D01E92" w:rsidRDefault="00C14292" w:rsidP="00C14292">
      <w:pPr>
        <w:jc w:val="both"/>
        <w:rPr>
          <w:rFonts w:ascii="Arial Narrow" w:hAnsi="Arial Narrow" w:cs="Arial"/>
          <w:b/>
          <w:sz w:val="28"/>
          <w:szCs w:val="28"/>
        </w:rPr>
      </w:pPr>
      <w:r w:rsidRPr="00D01E92">
        <w:rPr>
          <w:rFonts w:ascii="Arial Narrow" w:hAnsi="Arial Narrow" w:cs="Arial"/>
          <w:b/>
          <w:sz w:val="28"/>
          <w:szCs w:val="28"/>
        </w:rPr>
        <w:t>3. Sustancias prohibidas en ciertos deportes</w:t>
      </w:r>
    </w:p>
    <w:p w14:paraId="033402E3" w14:textId="77777777" w:rsidR="00C14292" w:rsidRPr="00D01E92" w:rsidRDefault="00C14292" w:rsidP="00C14292">
      <w:pPr>
        <w:pStyle w:val="Prrafodelista"/>
        <w:numPr>
          <w:ilvl w:val="0"/>
          <w:numId w:val="15"/>
        </w:numPr>
        <w:spacing w:after="160" w:line="259" w:lineRule="auto"/>
        <w:ind w:left="757"/>
        <w:jc w:val="both"/>
        <w:rPr>
          <w:rFonts w:ascii="Arial Narrow" w:hAnsi="Arial Narrow" w:cs="Arial"/>
          <w:b/>
          <w:sz w:val="28"/>
          <w:szCs w:val="28"/>
        </w:rPr>
      </w:pPr>
      <w:r w:rsidRPr="00D01E92">
        <w:rPr>
          <w:rFonts w:ascii="Arial Narrow" w:hAnsi="Arial Narrow" w:cs="Arial"/>
          <w:b/>
          <w:sz w:val="28"/>
          <w:szCs w:val="28"/>
        </w:rPr>
        <w:t>Betabloqueantes</w:t>
      </w:r>
    </w:p>
    <w:p w14:paraId="7D5F656D" w14:textId="77777777" w:rsidR="00C14292" w:rsidRPr="00D01E92" w:rsidRDefault="00C14292" w:rsidP="00C14292">
      <w:pPr>
        <w:pStyle w:val="Prrafodelista"/>
        <w:ind w:left="757"/>
        <w:jc w:val="both"/>
        <w:rPr>
          <w:rFonts w:ascii="Arial Narrow" w:hAnsi="Arial Narrow" w:cs="Arial"/>
          <w:sz w:val="28"/>
          <w:szCs w:val="28"/>
        </w:rPr>
      </w:pPr>
      <w:r w:rsidRPr="00D01E92">
        <w:rPr>
          <w:rFonts w:ascii="Arial Narrow" w:hAnsi="Arial Narrow" w:cs="Arial"/>
          <w:sz w:val="28"/>
          <w:szCs w:val="28"/>
        </w:rPr>
        <w:t>Están prohibidos en los siguientes deportes:</w:t>
      </w:r>
    </w:p>
    <w:p w14:paraId="4FC2F1D2" w14:textId="77777777" w:rsidR="00C14292" w:rsidRPr="00D01E92" w:rsidRDefault="00C14292" w:rsidP="00C14292">
      <w:pPr>
        <w:pStyle w:val="Prrafodelista"/>
        <w:numPr>
          <w:ilvl w:val="0"/>
          <w:numId w:val="20"/>
        </w:numPr>
        <w:spacing w:after="160" w:line="259" w:lineRule="auto"/>
        <w:ind w:left="757"/>
        <w:jc w:val="both"/>
        <w:rPr>
          <w:rFonts w:ascii="Arial Narrow" w:hAnsi="Arial Narrow" w:cs="Arial"/>
          <w:sz w:val="28"/>
          <w:szCs w:val="28"/>
        </w:rPr>
      </w:pPr>
      <w:r w:rsidRPr="00D01E92">
        <w:rPr>
          <w:rFonts w:ascii="Arial Narrow" w:hAnsi="Arial Narrow" w:cs="Arial"/>
          <w:sz w:val="28"/>
          <w:szCs w:val="28"/>
        </w:rPr>
        <w:t>Automovilismo (FIA)</w:t>
      </w:r>
    </w:p>
    <w:p w14:paraId="04C3F35D" w14:textId="77777777" w:rsidR="00C14292" w:rsidRPr="00D01E92" w:rsidRDefault="00C14292" w:rsidP="00C14292">
      <w:pPr>
        <w:pStyle w:val="Prrafodelista"/>
        <w:numPr>
          <w:ilvl w:val="0"/>
          <w:numId w:val="20"/>
        </w:numPr>
        <w:spacing w:after="160" w:line="259" w:lineRule="auto"/>
        <w:ind w:left="757"/>
        <w:jc w:val="both"/>
        <w:rPr>
          <w:rFonts w:ascii="Arial Narrow" w:hAnsi="Arial Narrow" w:cs="Arial"/>
          <w:sz w:val="28"/>
          <w:szCs w:val="28"/>
        </w:rPr>
      </w:pPr>
      <w:r w:rsidRPr="00D01E92">
        <w:rPr>
          <w:rFonts w:ascii="Arial Narrow" w:hAnsi="Arial Narrow" w:cs="Arial"/>
          <w:sz w:val="28"/>
          <w:szCs w:val="28"/>
        </w:rPr>
        <w:t>Billar (todas las disciplinas) (WCBS)</w:t>
      </w:r>
    </w:p>
    <w:p w14:paraId="6C5BE3BD" w14:textId="77777777" w:rsidR="00C14292" w:rsidRPr="00D01E92" w:rsidRDefault="00C14292" w:rsidP="00C14292">
      <w:pPr>
        <w:pStyle w:val="Prrafodelista"/>
        <w:numPr>
          <w:ilvl w:val="0"/>
          <w:numId w:val="20"/>
        </w:numPr>
        <w:spacing w:after="160" w:line="259" w:lineRule="auto"/>
        <w:ind w:left="757"/>
        <w:jc w:val="both"/>
        <w:rPr>
          <w:rFonts w:ascii="Arial Narrow" w:hAnsi="Arial Narrow" w:cs="Arial"/>
          <w:sz w:val="28"/>
          <w:szCs w:val="28"/>
        </w:rPr>
      </w:pPr>
      <w:r w:rsidRPr="00D01E92">
        <w:rPr>
          <w:rFonts w:ascii="Arial Narrow" w:hAnsi="Arial Narrow" w:cs="Arial"/>
          <w:sz w:val="28"/>
          <w:szCs w:val="28"/>
        </w:rPr>
        <w:t>Dardos (WDF)</w:t>
      </w:r>
    </w:p>
    <w:p w14:paraId="1C3CC944" w14:textId="77777777" w:rsidR="00C14292" w:rsidRPr="00D01E92" w:rsidRDefault="00C14292" w:rsidP="00C14292">
      <w:pPr>
        <w:pStyle w:val="Prrafodelista"/>
        <w:numPr>
          <w:ilvl w:val="0"/>
          <w:numId w:val="20"/>
        </w:numPr>
        <w:spacing w:after="160" w:line="259" w:lineRule="auto"/>
        <w:ind w:left="757"/>
        <w:jc w:val="both"/>
        <w:rPr>
          <w:rFonts w:ascii="Arial Narrow" w:hAnsi="Arial Narrow" w:cs="Arial"/>
          <w:sz w:val="28"/>
          <w:szCs w:val="28"/>
        </w:rPr>
      </w:pPr>
      <w:r w:rsidRPr="00D01E92">
        <w:rPr>
          <w:rFonts w:ascii="Arial Narrow" w:hAnsi="Arial Narrow" w:cs="Arial"/>
          <w:sz w:val="28"/>
          <w:szCs w:val="28"/>
        </w:rPr>
        <w:t>Deportes submarinos (CMAS) en apnea de peso constante con o sin aletas, apnea de peso variable, apnea dinámica con o sin aletas, apnea estática, apnea Jump Blue, apnea de libre inmersión, pesca submarina y tiro al blanco</w:t>
      </w:r>
    </w:p>
    <w:p w14:paraId="6301F611" w14:textId="77777777" w:rsidR="00C14292" w:rsidRPr="00D01E92" w:rsidRDefault="00C14292" w:rsidP="00C14292">
      <w:pPr>
        <w:pStyle w:val="Prrafodelista"/>
        <w:numPr>
          <w:ilvl w:val="0"/>
          <w:numId w:val="20"/>
        </w:numPr>
        <w:spacing w:after="160" w:line="259" w:lineRule="auto"/>
        <w:ind w:left="757"/>
        <w:jc w:val="both"/>
        <w:rPr>
          <w:rFonts w:ascii="Arial Narrow" w:hAnsi="Arial Narrow" w:cs="Arial"/>
          <w:sz w:val="28"/>
          <w:szCs w:val="28"/>
        </w:rPr>
      </w:pPr>
      <w:r w:rsidRPr="00D01E92">
        <w:rPr>
          <w:rFonts w:ascii="Arial Narrow" w:hAnsi="Arial Narrow" w:cs="Arial"/>
          <w:sz w:val="28"/>
          <w:szCs w:val="28"/>
        </w:rPr>
        <w:t>Esquí / Snowboard (FIS) en saltos, acrobacias y halfpipe estilo libre de esquí, y halfpipe y Big Air de snowboard</w:t>
      </w:r>
    </w:p>
    <w:p w14:paraId="5D49C523" w14:textId="77777777" w:rsidR="00C14292" w:rsidRPr="00D01E92" w:rsidRDefault="00C14292" w:rsidP="00C14292">
      <w:pPr>
        <w:pStyle w:val="Prrafodelista"/>
        <w:numPr>
          <w:ilvl w:val="0"/>
          <w:numId w:val="20"/>
        </w:numPr>
        <w:spacing w:after="160" w:line="259" w:lineRule="auto"/>
        <w:ind w:left="757"/>
        <w:jc w:val="both"/>
        <w:rPr>
          <w:rFonts w:ascii="Arial Narrow" w:hAnsi="Arial Narrow" w:cs="Arial"/>
          <w:sz w:val="28"/>
          <w:szCs w:val="28"/>
        </w:rPr>
      </w:pPr>
      <w:r w:rsidRPr="00D01E92">
        <w:rPr>
          <w:rFonts w:ascii="Arial Narrow" w:hAnsi="Arial Narrow" w:cs="Arial"/>
          <w:sz w:val="28"/>
          <w:szCs w:val="28"/>
        </w:rPr>
        <w:t>Golf (IGF)</w:t>
      </w:r>
    </w:p>
    <w:p w14:paraId="721CBD2F" w14:textId="77777777" w:rsidR="00C14292" w:rsidRPr="00D01E92" w:rsidRDefault="00C14292" w:rsidP="00C14292">
      <w:pPr>
        <w:pStyle w:val="Prrafodelista"/>
        <w:numPr>
          <w:ilvl w:val="0"/>
          <w:numId w:val="20"/>
        </w:numPr>
        <w:spacing w:after="160" w:line="259" w:lineRule="auto"/>
        <w:ind w:left="757"/>
        <w:jc w:val="both"/>
        <w:rPr>
          <w:rFonts w:ascii="Arial Narrow" w:hAnsi="Arial Narrow" w:cs="Arial"/>
          <w:sz w:val="28"/>
          <w:szCs w:val="28"/>
        </w:rPr>
      </w:pPr>
      <w:r w:rsidRPr="00D01E92">
        <w:rPr>
          <w:rFonts w:ascii="Arial Narrow" w:hAnsi="Arial Narrow" w:cs="Arial"/>
          <w:sz w:val="28"/>
          <w:szCs w:val="28"/>
        </w:rPr>
        <w:t>Tiro (ISSF, CPI)</w:t>
      </w:r>
    </w:p>
    <w:p w14:paraId="53929C60" w14:textId="77777777" w:rsidR="00C14292" w:rsidRPr="00D01E92" w:rsidRDefault="00C14292" w:rsidP="00C14292">
      <w:pPr>
        <w:pStyle w:val="Prrafodelista"/>
        <w:numPr>
          <w:ilvl w:val="0"/>
          <w:numId w:val="20"/>
        </w:numPr>
        <w:spacing w:after="160" w:line="259" w:lineRule="auto"/>
        <w:ind w:left="757"/>
        <w:jc w:val="both"/>
        <w:rPr>
          <w:rFonts w:ascii="Arial Narrow" w:hAnsi="Arial Narrow" w:cs="Arial"/>
          <w:sz w:val="28"/>
          <w:szCs w:val="28"/>
        </w:rPr>
      </w:pPr>
      <w:r w:rsidRPr="00D01E92">
        <w:rPr>
          <w:rFonts w:ascii="Arial Narrow" w:hAnsi="Arial Narrow" w:cs="Arial"/>
          <w:sz w:val="28"/>
          <w:szCs w:val="28"/>
        </w:rPr>
        <w:t>Tiro con arco (WA)</w:t>
      </w:r>
    </w:p>
    <w:p w14:paraId="3A85E2B8" w14:textId="77777777" w:rsidR="00C14292" w:rsidRPr="00D01E92" w:rsidRDefault="00C14292" w:rsidP="00C14292">
      <w:pPr>
        <w:pBdr>
          <w:top w:val="nil"/>
          <w:left w:val="nil"/>
          <w:bottom w:val="nil"/>
          <w:right w:val="nil"/>
          <w:between w:val="nil"/>
        </w:pBdr>
        <w:rPr>
          <w:rFonts w:ascii="Arial Narrow" w:eastAsia="Century Gothic" w:hAnsi="Arial Narrow" w:cs="Century Gothic"/>
          <w:b/>
          <w:sz w:val="28"/>
          <w:szCs w:val="28"/>
        </w:rPr>
      </w:pPr>
      <w:r w:rsidRPr="00D01E92">
        <w:rPr>
          <w:rFonts w:ascii="Arial Narrow" w:eastAsia="Century Gothic" w:hAnsi="Arial Narrow" w:cs="Century Gothic"/>
          <w:b/>
          <w:sz w:val="28"/>
          <w:szCs w:val="28"/>
        </w:rPr>
        <w:t>5. BIBLIOGRAFÍA</w:t>
      </w:r>
    </w:p>
    <w:p w14:paraId="3D579080" w14:textId="77777777" w:rsidR="00C14292" w:rsidRPr="00D01E92" w:rsidRDefault="00C14292" w:rsidP="00C14292">
      <w:pPr>
        <w:pBdr>
          <w:top w:val="nil"/>
          <w:left w:val="nil"/>
          <w:bottom w:val="nil"/>
          <w:right w:val="nil"/>
          <w:between w:val="nil"/>
        </w:pBdr>
        <w:rPr>
          <w:rFonts w:ascii="Arial Narrow" w:eastAsia="Century Gothic" w:hAnsi="Arial Narrow" w:cs="Century Gothic"/>
          <w:b/>
          <w:color w:val="000000"/>
          <w:sz w:val="28"/>
          <w:szCs w:val="28"/>
        </w:rPr>
      </w:pPr>
      <w:r w:rsidRPr="00D01E92">
        <w:rPr>
          <w:rFonts w:ascii="Arial Narrow" w:eastAsia="Century Gothic" w:hAnsi="Arial Narrow" w:cs="Century Gothic"/>
          <w:b/>
          <w:color w:val="000000"/>
          <w:sz w:val="28"/>
          <w:szCs w:val="28"/>
        </w:rPr>
        <w:t>V. PLIEGO DE MODIFICACIONES</w:t>
      </w:r>
    </w:p>
    <w:tbl>
      <w:tblPr>
        <w:tblW w:w="9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50"/>
        <w:gridCol w:w="4725"/>
      </w:tblGrid>
      <w:tr w:rsidR="00C14292" w:rsidRPr="00D01E92" w14:paraId="50659F94" w14:textId="77777777" w:rsidTr="00BD0F49">
        <w:tc>
          <w:tcPr>
            <w:tcW w:w="4350" w:type="dxa"/>
          </w:tcPr>
          <w:p w14:paraId="634F484D" w14:textId="77777777" w:rsidR="00C14292" w:rsidRPr="00D01E92" w:rsidRDefault="00C14292" w:rsidP="00BD0F49">
            <w:pPr>
              <w:pBdr>
                <w:top w:val="nil"/>
                <w:left w:val="nil"/>
                <w:bottom w:val="nil"/>
                <w:right w:val="nil"/>
                <w:between w:val="nil"/>
              </w:pBdr>
              <w:jc w:val="center"/>
              <w:rPr>
                <w:rFonts w:ascii="Arial Narrow" w:eastAsia="Century Gothic" w:hAnsi="Arial Narrow" w:cs="Century Gothic"/>
                <w:b/>
                <w:color w:val="000000"/>
                <w:sz w:val="28"/>
                <w:szCs w:val="28"/>
              </w:rPr>
            </w:pPr>
            <w:r w:rsidRPr="00D01E92">
              <w:rPr>
                <w:rFonts w:ascii="Arial Narrow" w:eastAsia="Century Gothic" w:hAnsi="Arial Narrow" w:cs="Century Gothic"/>
                <w:b/>
                <w:color w:val="000000"/>
                <w:sz w:val="28"/>
                <w:szCs w:val="28"/>
              </w:rPr>
              <w:t xml:space="preserve">PROYECTO DE LEY 252 DE 2019 </w:t>
            </w:r>
          </w:p>
        </w:tc>
        <w:tc>
          <w:tcPr>
            <w:tcW w:w="4725" w:type="dxa"/>
          </w:tcPr>
          <w:p w14:paraId="7395AEF3" w14:textId="77777777" w:rsidR="00C14292" w:rsidRPr="00D01E92" w:rsidRDefault="00C14292" w:rsidP="00BD0F49">
            <w:pPr>
              <w:pBdr>
                <w:top w:val="nil"/>
                <w:left w:val="nil"/>
                <w:bottom w:val="nil"/>
                <w:right w:val="nil"/>
                <w:between w:val="nil"/>
              </w:pBdr>
              <w:jc w:val="center"/>
              <w:rPr>
                <w:rFonts w:ascii="Arial Narrow" w:eastAsia="Century Gothic" w:hAnsi="Arial Narrow" w:cs="Century Gothic"/>
                <w:b/>
                <w:color w:val="000000"/>
                <w:sz w:val="28"/>
                <w:szCs w:val="28"/>
              </w:rPr>
            </w:pPr>
            <w:r w:rsidRPr="00D01E92">
              <w:rPr>
                <w:rFonts w:ascii="Arial Narrow" w:eastAsia="Century Gothic" w:hAnsi="Arial Narrow" w:cs="Century Gothic"/>
                <w:b/>
                <w:color w:val="000000"/>
                <w:sz w:val="28"/>
                <w:szCs w:val="28"/>
              </w:rPr>
              <w:t>TEXTO PROPUESTO PARA PRIMER DEBATE CÁMARA</w:t>
            </w:r>
          </w:p>
        </w:tc>
      </w:tr>
      <w:tr w:rsidR="00C14292" w:rsidRPr="00D01E92" w14:paraId="2F8007F8" w14:textId="77777777" w:rsidTr="00BD0F49">
        <w:trPr>
          <w:trHeight w:val="2400"/>
        </w:trPr>
        <w:tc>
          <w:tcPr>
            <w:tcW w:w="4350" w:type="dxa"/>
          </w:tcPr>
          <w:p w14:paraId="65A7E1FB" w14:textId="77777777" w:rsidR="00C14292" w:rsidRPr="00D01E92" w:rsidRDefault="00C14292" w:rsidP="00BD0F49">
            <w:pPr>
              <w:pBdr>
                <w:top w:val="nil"/>
                <w:left w:val="nil"/>
                <w:bottom w:val="nil"/>
                <w:right w:val="nil"/>
                <w:between w:val="nil"/>
              </w:pBdr>
              <w:jc w:val="center"/>
              <w:rPr>
                <w:rFonts w:ascii="Arial Narrow" w:eastAsia="Century Gothic" w:hAnsi="Arial Narrow" w:cs="Century Gothic"/>
                <w:bCs/>
                <w:i/>
                <w:iCs/>
                <w:color w:val="000000"/>
                <w:sz w:val="28"/>
                <w:szCs w:val="28"/>
              </w:rPr>
            </w:pPr>
            <w:r w:rsidRPr="00D01E92">
              <w:rPr>
                <w:rFonts w:ascii="Arial Narrow" w:eastAsia="Century Gothic" w:hAnsi="Arial Narrow" w:cs="Century Gothic"/>
                <w:bCs/>
                <w:i/>
                <w:iCs/>
                <w:color w:val="000000"/>
                <w:sz w:val="28"/>
                <w:szCs w:val="28"/>
              </w:rPr>
              <w:lastRenderedPageBreak/>
              <w:t>“Por medio del cual se modifica el articulo 380 del Código Penal (Ley 599 de 2000)”</w:t>
            </w:r>
          </w:p>
        </w:tc>
        <w:tc>
          <w:tcPr>
            <w:tcW w:w="4725" w:type="dxa"/>
          </w:tcPr>
          <w:p w14:paraId="749545A1" w14:textId="77777777" w:rsidR="00C14292" w:rsidRPr="00D01E92" w:rsidRDefault="00C14292" w:rsidP="00BD0F49">
            <w:pPr>
              <w:pBdr>
                <w:top w:val="nil"/>
                <w:left w:val="nil"/>
                <w:bottom w:val="nil"/>
                <w:right w:val="nil"/>
                <w:between w:val="nil"/>
              </w:pBdr>
              <w:jc w:val="center"/>
              <w:rPr>
                <w:rFonts w:ascii="Arial Narrow" w:eastAsia="Century Gothic" w:hAnsi="Arial Narrow" w:cs="Century Gothic"/>
                <w:i/>
                <w:color w:val="000000"/>
                <w:sz w:val="28"/>
                <w:szCs w:val="28"/>
              </w:rPr>
            </w:pPr>
            <w:r w:rsidRPr="00D01E92">
              <w:rPr>
                <w:rFonts w:ascii="Arial Narrow" w:eastAsia="Century Gothic" w:hAnsi="Arial Narrow" w:cs="Century Gothic"/>
                <w:bCs/>
                <w:i/>
                <w:iCs/>
                <w:color w:val="000000"/>
                <w:sz w:val="28"/>
                <w:szCs w:val="28"/>
              </w:rPr>
              <w:t>“Por medio del cual se modifica el artículo 380 del Código Penal (Ley 599 de 2000)”</w:t>
            </w:r>
          </w:p>
          <w:p w14:paraId="1D9D1D76" w14:textId="77777777" w:rsidR="00C14292" w:rsidRPr="00D01E92" w:rsidRDefault="00C14292" w:rsidP="00BD0F49">
            <w:pPr>
              <w:pBdr>
                <w:top w:val="nil"/>
                <w:left w:val="nil"/>
                <w:bottom w:val="nil"/>
                <w:right w:val="nil"/>
                <w:between w:val="nil"/>
              </w:pBdr>
              <w:jc w:val="center"/>
              <w:rPr>
                <w:rFonts w:ascii="Arial Narrow" w:eastAsia="Century Gothic" w:hAnsi="Arial Narrow" w:cs="Century Gothic"/>
                <w:b/>
                <w:color w:val="000000"/>
                <w:sz w:val="28"/>
                <w:szCs w:val="28"/>
              </w:rPr>
            </w:pPr>
          </w:p>
        </w:tc>
      </w:tr>
      <w:tr w:rsidR="00C14292" w:rsidRPr="00D01E92" w14:paraId="53557CF6" w14:textId="77777777" w:rsidTr="00BD0F49">
        <w:tc>
          <w:tcPr>
            <w:tcW w:w="4350" w:type="dxa"/>
          </w:tcPr>
          <w:p w14:paraId="5DBE6F3D" w14:textId="77777777" w:rsidR="00C14292" w:rsidRPr="00D01E92" w:rsidRDefault="00C14292" w:rsidP="00BD0F49">
            <w:pPr>
              <w:pBdr>
                <w:top w:val="nil"/>
                <w:left w:val="nil"/>
                <w:bottom w:val="nil"/>
                <w:right w:val="nil"/>
                <w:between w:val="nil"/>
              </w:pBdr>
              <w:jc w:val="both"/>
              <w:rPr>
                <w:rFonts w:ascii="Arial Narrow" w:eastAsia="Century Gothic" w:hAnsi="Arial Narrow" w:cs="Century Gothic"/>
                <w:color w:val="000000"/>
                <w:sz w:val="28"/>
                <w:szCs w:val="28"/>
              </w:rPr>
            </w:pPr>
            <w:r w:rsidRPr="00D01E92">
              <w:rPr>
                <w:rFonts w:ascii="Arial Narrow" w:eastAsia="Century Gothic" w:hAnsi="Arial Narrow" w:cs="Century Gothic"/>
                <w:b/>
                <w:color w:val="000000"/>
                <w:sz w:val="28"/>
                <w:szCs w:val="28"/>
              </w:rPr>
              <w:t>Art</w:t>
            </w:r>
            <w:r w:rsidRPr="00D01E92">
              <w:rPr>
                <w:rFonts w:ascii="Arial Narrow" w:eastAsia="Century Gothic" w:hAnsi="Arial Narrow" w:cs="Century Gothic"/>
                <w:b/>
                <w:sz w:val="28"/>
                <w:szCs w:val="28"/>
              </w:rPr>
              <w:t>í</w:t>
            </w:r>
            <w:r w:rsidRPr="00D01E92">
              <w:rPr>
                <w:rFonts w:ascii="Arial Narrow" w:eastAsia="Century Gothic" w:hAnsi="Arial Narrow" w:cs="Century Gothic"/>
                <w:b/>
                <w:color w:val="000000"/>
                <w:sz w:val="28"/>
                <w:szCs w:val="28"/>
              </w:rPr>
              <w:t xml:space="preserve">culo 1°. </w:t>
            </w:r>
            <w:r w:rsidRPr="00D01E92">
              <w:rPr>
                <w:rFonts w:ascii="Arial Narrow" w:eastAsia="Century Gothic" w:hAnsi="Arial Narrow" w:cs="Century Gothic"/>
                <w:color w:val="000000"/>
                <w:sz w:val="28"/>
                <w:szCs w:val="28"/>
              </w:rPr>
              <w:t xml:space="preserve">El articulo 380 del Código Penal (Ley 599 de 2000) quedara así: </w:t>
            </w:r>
          </w:p>
          <w:p w14:paraId="6DBE4F33" w14:textId="77777777" w:rsidR="00C14292" w:rsidRPr="00D01E92" w:rsidRDefault="00C14292" w:rsidP="00BD0F49">
            <w:pPr>
              <w:pBdr>
                <w:top w:val="nil"/>
                <w:left w:val="nil"/>
                <w:bottom w:val="nil"/>
                <w:right w:val="nil"/>
                <w:between w:val="nil"/>
              </w:pBdr>
              <w:jc w:val="both"/>
              <w:rPr>
                <w:rFonts w:ascii="Arial Narrow" w:eastAsia="Century Gothic" w:hAnsi="Arial Narrow" w:cs="Century Gothic"/>
                <w:color w:val="000000"/>
                <w:sz w:val="28"/>
                <w:szCs w:val="28"/>
              </w:rPr>
            </w:pPr>
            <w:r w:rsidRPr="00D01E92">
              <w:rPr>
                <w:rFonts w:ascii="Arial Narrow" w:eastAsia="Century Gothic" w:hAnsi="Arial Narrow" w:cs="Century Gothic"/>
                <w:color w:val="000000"/>
                <w:sz w:val="28"/>
                <w:szCs w:val="28"/>
              </w:rPr>
              <w:t xml:space="preserve">“Suministro o formulación ilegal a deportistas. El que, en incumplimiento de la normatividad antidopaje, formule, suministre, aplique o administre a un deportista profesional o aficionado alguna sustancia o método prohibido en el deporte, o lo induzca al consumo, incurrirá en prisión de veinticuatro (24) a setenta y dos (72) meses y multa de sesenta y seis (66) a setecientos cincuenta (750) salarios mínimos legales mensuales vigentes. </w:t>
            </w:r>
          </w:p>
          <w:p w14:paraId="38F141C7" w14:textId="77777777" w:rsidR="00C14292" w:rsidRPr="00D01E92" w:rsidRDefault="00C14292" w:rsidP="00BD0F49">
            <w:pPr>
              <w:pBdr>
                <w:top w:val="nil"/>
                <w:left w:val="nil"/>
                <w:bottom w:val="nil"/>
                <w:right w:val="nil"/>
                <w:between w:val="nil"/>
              </w:pBdr>
              <w:jc w:val="both"/>
              <w:rPr>
                <w:rFonts w:ascii="Arial Narrow" w:eastAsia="Century Gothic" w:hAnsi="Arial Narrow" w:cs="Century Gothic"/>
                <w:color w:val="000000"/>
                <w:sz w:val="28"/>
                <w:szCs w:val="28"/>
              </w:rPr>
            </w:pPr>
            <w:r w:rsidRPr="00D01E92">
              <w:rPr>
                <w:rFonts w:ascii="Arial Narrow" w:eastAsia="Century Gothic" w:hAnsi="Arial Narrow" w:cs="Century Gothic"/>
                <w:color w:val="000000"/>
                <w:sz w:val="28"/>
                <w:szCs w:val="28"/>
              </w:rPr>
              <w:t xml:space="preserve">La pena se aumentará hasta en la mitad, cuando: </w:t>
            </w:r>
          </w:p>
          <w:p w14:paraId="1A7538A6" w14:textId="77777777" w:rsidR="00C14292" w:rsidRPr="00D01E92" w:rsidRDefault="00C14292" w:rsidP="00C14292">
            <w:pPr>
              <w:pStyle w:val="Prrafodelista"/>
              <w:numPr>
                <w:ilvl w:val="0"/>
                <w:numId w:val="21"/>
              </w:numPr>
              <w:pBdr>
                <w:top w:val="nil"/>
                <w:left w:val="nil"/>
                <w:bottom w:val="nil"/>
                <w:right w:val="nil"/>
                <w:between w:val="nil"/>
              </w:pBdr>
              <w:spacing w:line="240" w:lineRule="auto"/>
              <w:jc w:val="both"/>
              <w:rPr>
                <w:rFonts w:ascii="Arial Narrow" w:eastAsia="Century Gothic" w:hAnsi="Arial Narrow" w:cs="Century Gothic"/>
                <w:b/>
                <w:color w:val="000000"/>
                <w:sz w:val="28"/>
                <w:szCs w:val="28"/>
              </w:rPr>
            </w:pPr>
            <w:r w:rsidRPr="00D01E92">
              <w:rPr>
                <w:rFonts w:ascii="Arial Narrow" w:eastAsia="Century Gothic" w:hAnsi="Arial Narrow" w:cs="Century Gothic"/>
                <w:bCs/>
                <w:color w:val="000000"/>
                <w:sz w:val="28"/>
                <w:szCs w:val="28"/>
              </w:rPr>
              <w:t xml:space="preserve">La conducta recaiga sobre un menor de edad </w:t>
            </w:r>
          </w:p>
          <w:p w14:paraId="1E0B0B7A" w14:textId="77777777" w:rsidR="00C14292" w:rsidRPr="00D01E92" w:rsidRDefault="00C14292" w:rsidP="00C14292">
            <w:pPr>
              <w:pStyle w:val="Prrafodelista"/>
              <w:numPr>
                <w:ilvl w:val="0"/>
                <w:numId w:val="21"/>
              </w:numPr>
              <w:pBdr>
                <w:top w:val="nil"/>
                <w:left w:val="nil"/>
                <w:bottom w:val="nil"/>
                <w:right w:val="nil"/>
                <w:between w:val="nil"/>
              </w:pBdr>
              <w:spacing w:line="240" w:lineRule="auto"/>
              <w:jc w:val="both"/>
              <w:rPr>
                <w:rFonts w:ascii="Arial Narrow" w:eastAsia="Century Gothic" w:hAnsi="Arial Narrow" w:cs="Century Gothic"/>
                <w:b/>
                <w:color w:val="000000"/>
                <w:sz w:val="28"/>
                <w:szCs w:val="28"/>
              </w:rPr>
            </w:pPr>
            <w:r w:rsidRPr="00D01E92">
              <w:rPr>
                <w:rFonts w:ascii="Arial Narrow" w:eastAsia="Century Gothic" w:hAnsi="Arial Narrow" w:cs="Century Gothic"/>
                <w:bCs/>
                <w:color w:val="000000"/>
                <w:sz w:val="28"/>
                <w:szCs w:val="28"/>
              </w:rPr>
              <w:t xml:space="preserve">La conducta se realice mediante engaño o coacción </w:t>
            </w:r>
          </w:p>
          <w:p w14:paraId="28C412A0" w14:textId="77777777" w:rsidR="00C14292" w:rsidRPr="00D01E92" w:rsidRDefault="00C14292" w:rsidP="00C14292">
            <w:pPr>
              <w:pStyle w:val="Prrafodelista"/>
              <w:numPr>
                <w:ilvl w:val="0"/>
                <w:numId w:val="21"/>
              </w:numPr>
              <w:pBdr>
                <w:top w:val="nil"/>
                <w:left w:val="nil"/>
                <w:bottom w:val="nil"/>
                <w:right w:val="nil"/>
                <w:between w:val="nil"/>
              </w:pBdr>
              <w:spacing w:line="240" w:lineRule="auto"/>
              <w:jc w:val="both"/>
              <w:rPr>
                <w:rFonts w:ascii="Arial Narrow" w:eastAsia="Century Gothic" w:hAnsi="Arial Narrow" w:cs="Century Gothic"/>
                <w:b/>
                <w:color w:val="000000"/>
                <w:sz w:val="28"/>
                <w:szCs w:val="28"/>
              </w:rPr>
            </w:pPr>
            <w:r w:rsidRPr="00D01E92">
              <w:rPr>
                <w:rFonts w:ascii="Arial Narrow" w:eastAsia="Century Gothic" w:hAnsi="Arial Narrow" w:cs="Century Gothic"/>
                <w:bCs/>
                <w:color w:val="000000"/>
                <w:sz w:val="28"/>
                <w:szCs w:val="28"/>
              </w:rPr>
              <w:t xml:space="preserve">El responsable tuviere cualquier carácter, posición o cargo que le de particular autoridad o poder sobre la víctima. </w:t>
            </w:r>
          </w:p>
          <w:p w14:paraId="050B4CA9" w14:textId="77777777" w:rsidR="00C14292" w:rsidRPr="00D01E92" w:rsidRDefault="00C14292" w:rsidP="00BD0F49">
            <w:pPr>
              <w:pBdr>
                <w:top w:val="nil"/>
                <w:left w:val="nil"/>
                <w:bottom w:val="nil"/>
                <w:right w:val="nil"/>
                <w:between w:val="nil"/>
              </w:pBdr>
              <w:jc w:val="both"/>
              <w:rPr>
                <w:rFonts w:ascii="Arial Narrow" w:eastAsia="Century Gothic" w:hAnsi="Arial Narrow" w:cs="Century Gothic"/>
                <w:bCs/>
                <w:color w:val="000000"/>
                <w:sz w:val="28"/>
                <w:szCs w:val="28"/>
              </w:rPr>
            </w:pPr>
            <w:r w:rsidRPr="00D01E92">
              <w:rPr>
                <w:rFonts w:ascii="Arial Narrow" w:eastAsia="Century Gothic" w:hAnsi="Arial Narrow" w:cs="Century Gothic"/>
                <w:bCs/>
                <w:color w:val="000000"/>
                <w:sz w:val="28"/>
                <w:szCs w:val="28"/>
              </w:rPr>
              <w:lastRenderedPageBreak/>
              <w:t xml:space="preserve">A las sanciones previstas en el articulo 379 quedará sujeto el profesional o practicante de medicina, odontología, enfermería, farmacia </w:t>
            </w:r>
            <w:r w:rsidRPr="00D01E92">
              <w:rPr>
                <w:rFonts w:ascii="Arial Narrow" w:eastAsia="Century Gothic" w:hAnsi="Arial Narrow" w:cs="Century Gothic"/>
                <w:bCs/>
                <w:strike/>
                <w:color w:val="000000"/>
                <w:sz w:val="28"/>
                <w:szCs w:val="28"/>
              </w:rPr>
              <w:t>o de alguna de las respectivas profesiones auxiliares que,</w:t>
            </w:r>
            <w:r w:rsidRPr="00D01E92">
              <w:rPr>
                <w:rFonts w:ascii="Arial Narrow" w:eastAsia="Century Gothic" w:hAnsi="Arial Narrow" w:cs="Century Gothic"/>
                <w:bCs/>
                <w:color w:val="000000"/>
                <w:sz w:val="28"/>
                <w:szCs w:val="28"/>
              </w:rPr>
              <w:t xml:space="preserve"> en ejercicio de ellas, realizare las conductas previstas en este artículo” </w:t>
            </w:r>
          </w:p>
          <w:p w14:paraId="1D889C47" w14:textId="77777777" w:rsidR="00C14292" w:rsidRPr="00D01E92" w:rsidRDefault="00C14292" w:rsidP="00BD0F49">
            <w:pPr>
              <w:pBdr>
                <w:top w:val="nil"/>
                <w:left w:val="nil"/>
                <w:bottom w:val="nil"/>
                <w:right w:val="nil"/>
                <w:between w:val="nil"/>
              </w:pBdr>
              <w:jc w:val="center"/>
              <w:rPr>
                <w:rFonts w:ascii="Arial Narrow" w:eastAsia="Century Gothic" w:hAnsi="Arial Narrow" w:cs="Century Gothic"/>
                <w:b/>
                <w:color w:val="000000"/>
                <w:sz w:val="28"/>
                <w:szCs w:val="28"/>
              </w:rPr>
            </w:pPr>
          </w:p>
        </w:tc>
        <w:tc>
          <w:tcPr>
            <w:tcW w:w="4725" w:type="dxa"/>
          </w:tcPr>
          <w:p w14:paraId="1CE02211" w14:textId="77777777" w:rsidR="00C14292" w:rsidRPr="00D01E92" w:rsidRDefault="00C14292" w:rsidP="00BD0F49">
            <w:pPr>
              <w:pBdr>
                <w:top w:val="nil"/>
                <w:left w:val="nil"/>
                <w:bottom w:val="nil"/>
                <w:right w:val="nil"/>
                <w:between w:val="nil"/>
              </w:pBdr>
              <w:jc w:val="both"/>
              <w:rPr>
                <w:rFonts w:ascii="Arial Narrow" w:eastAsia="Century Gothic" w:hAnsi="Arial Narrow" w:cs="Century Gothic"/>
                <w:color w:val="000000"/>
                <w:sz w:val="28"/>
                <w:szCs w:val="28"/>
              </w:rPr>
            </w:pPr>
            <w:r w:rsidRPr="00D01E92">
              <w:rPr>
                <w:rFonts w:ascii="Arial Narrow" w:eastAsia="Century Gothic" w:hAnsi="Arial Narrow" w:cs="Century Gothic"/>
                <w:b/>
                <w:color w:val="000000"/>
                <w:sz w:val="28"/>
                <w:szCs w:val="28"/>
              </w:rPr>
              <w:lastRenderedPageBreak/>
              <w:t>Art</w:t>
            </w:r>
            <w:r w:rsidRPr="00D01E92">
              <w:rPr>
                <w:rFonts w:ascii="Arial Narrow" w:eastAsia="Century Gothic" w:hAnsi="Arial Narrow" w:cs="Century Gothic"/>
                <w:b/>
                <w:sz w:val="28"/>
                <w:szCs w:val="28"/>
              </w:rPr>
              <w:t>í</w:t>
            </w:r>
            <w:r w:rsidRPr="00D01E92">
              <w:rPr>
                <w:rFonts w:ascii="Arial Narrow" w:eastAsia="Century Gothic" w:hAnsi="Arial Narrow" w:cs="Century Gothic"/>
                <w:b/>
                <w:color w:val="000000"/>
                <w:sz w:val="28"/>
                <w:szCs w:val="28"/>
              </w:rPr>
              <w:t xml:space="preserve">culo 1°. </w:t>
            </w:r>
            <w:r w:rsidRPr="00D01E92">
              <w:rPr>
                <w:rFonts w:ascii="Arial Narrow" w:eastAsia="Century Gothic" w:hAnsi="Arial Narrow" w:cs="Century Gothic"/>
                <w:color w:val="000000"/>
                <w:sz w:val="28"/>
                <w:szCs w:val="28"/>
              </w:rPr>
              <w:t xml:space="preserve">El artículo 380 del Código Penal (Ley 599 de 2000) quedara así: </w:t>
            </w:r>
          </w:p>
          <w:p w14:paraId="5D87AA95" w14:textId="77777777" w:rsidR="00C14292" w:rsidRPr="00D01E92" w:rsidRDefault="00C14292" w:rsidP="00BD0F49">
            <w:pPr>
              <w:pBdr>
                <w:top w:val="nil"/>
                <w:left w:val="nil"/>
                <w:bottom w:val="nil"/>
                <w:right w:val="nil"/>
                <w:between w:val="nil"/>
              </w:pBdr>
              <w:jc w:val="both"/>
              <w:rPr>
                <w:rFonts w:ascii="Arial Narrow" w:eastAsia="Century Gothic" w:hAnsi="Arial Narrow" w:cs="Century Gothic"/>
                <w:color w:val="000000"/>
                <w:sz w:val="28"/>
                <w:szCs w:val="28"/>
              </w:rPr>
            </w:pPr>
          </w:p>
          <w:p w14:paraId="38A8101D" w14:textId="77777777" w:rsidR="00C14292" w:rsidRPr="00D01E92" w:rsidRDefault="00C14292" w:rsidP="00BD0F49">
            <w:pPr>
              <w:pBdr>
                <w:top w:val="nil"/>
                <w:left w:val="nil"/>
                <w:bottom w:val="nil"/>
                <w:right w:val="nil"/>
                <w:between w:val="nil"/>
              </w:pBdr>
              <w:jc w:val="both"/>
              <w:rPr>
                <w:rFonts w:ascii="Arial Narrow" w:eastAsia="Century Gothic" w:hAnsi="Arial Narrow" w:cs="Century Gothic"/>
                <w:color w:val="000000"/>
                <w:sz w:val="28"/>
                <w:szCs w:val="28"/>
              </w:rPr>
            </w:pPr>
            <w:r w:rsidRPr="00D01E92">
              <w:rPr>
                <w:rFonts w:ascii="Arial Narrow" w:eastAsia="Century Gothic" w:hAnsi="Arial Narrow" w:cs="Century Gothic"/>
                <w:color w:val="000000"/>
                <w:sz w:val="28"/>
                <w:szCs w:val="28"/>
              </w:rPr>
              <w:t xml:space="preserve">“Suministro o formulación ilegal a deportistas. El que, en incumplimiento de la normatividad antidopaje </w:t>
            </w:r>
            <w:r w:rsidRPr="00D01E92">
              <w:rPr>
                <w:rFonts w:ascii="Arial Narrow" w:eastAsia="Century Gothic" w:hAnsi="Arial Narrow" w:cs="Century Gothic"/>
                <w:b/>
                <w:bCs/>
                <w:color w:val="000000"/>
                <w:sz w:val="28"/>
                <w:szCs w:val="28"/>
                <w:u w:val="single"/>
              </w:rPr>
              <w:t>expedida por la autoridad competente</w:t>
            </w:r>
            <w:r w:rsidRPr="00D01E92">
              <w:rPr>
                <w:rFonts w:ascii="Arial Narrow" w:eastAsia="Century Gothic" w:hAnsi="Arial Narrow" w:cs="Century Gothic"/>
                <w:color w:val="000000"/>
                <w:sz w:val="28"/>
                <w:szCs w:val="28"/>
              </w:rPr>
              <w:t xml:space="preserve">, formule, suministre, aplique o administre a un deportista profesional o aficionado alguna sustancia o método prohibido en el deporte, o lo induzca al consumo, incurrirá en prisión de veinticuatro (24) a setenta y dos (72) meses y multa de sesenta y seis (66) a setecientos cincuenta (750) salarios mínimos legales mensuales vigentes. </w:t>
            </w:r>
          </w:p>
          <w:p w14:paraId="227EF749" w14:textId="77777777" w:rsidR="00C14292" w:rsidRPr="00D01E92" w:rsidRDefault="00C14292" w:rsidP="00BD0F49">
            <w:pPr>
              <w:pBdr>
                <w:top w:val="nil"/>
                <w:left w:val="nil"/>
                <w:bottom w:val="nil"/>
                <w:right w:val="nil"/>
                <w:between w:val="nil"/>
              </w:pBdr>
              <w:jc w:val="both"/>
              <w:rPr>
                <w:rFonts w:ascii="Arial Narrow" w:eastAsia="Century Gothic" w:hAnsi="Arial Narrow" w:cs="Century Gothic"/>
                <w:color w:val="000000"/>
                <w:sz w:val="28"/>
                <w:szCs w:val="28"/>
              </w:rPr>
            </w:pPr>
            <w:r w:rsidRPr="00D01E92">
              <w:rPr>
                <w:rFonts w:ascii="Arial Narrow" w:eastAsia="Century Gothic" w:hAnsi="Arial Narrow" w:cs="Century Gothic"/>
                <w:color w:val="000000"/>
                <w:sz w:val="28"/>
                <w:szCs w:val="28"/>
              </w:rPr>
              <w:t xml:space="preserve">La pena se aumentará hasta en la mitad, cuando: </w:t>
            </w:r>
          </w:p>
          <w:p w14:paraId="7BE181AF" w14:textId="77777777" w:rsidR="00C14292" w:rsidRPr="00D01E92" w:rsidRDefault="00C14292" w:rsidP="00C14292">
            <w:pPr>
              <w:pStyle w:val="Prrafodelista"/>
              <w:numPr>
                <w:ilvl w:val="0"/>
                <w:numId w:val="22"/>
              </w:numPr>
              <w:pBdr>
                <w:top w:val="nil"/>
                <w:left w:val="nil"/>
                <w:bottom w:val="nil"/>
                <w:right w:val="nil"/>
                <w:between w:val="nil"/>
              </w:pBdr>
              <w:spacing w:line="240" w:lineRule="auto"/>
              <w:jc w:val="both"/>
              <w:rPr>
                <w:rFonts w:ascii="Arial Narrow" w:eastAsia="Century Gothic" w:hAnsi="Arial Narrow" w:cs="Century Gothic"/>
                <w:b/>
                <w:color w:val="000000"/>
                <w:sz w:val="28"/>
                <w:szCs w:val="28"/>
              </w:rPr>
            </w:pPr>
            <w:r w:rsidRPr="00D01E92">
              <w:rPr>
                <w:rFonts w:ascii="Arial Narrow" w:eastAsia="Century Gothic" w:hAnsi="Arial Narrow" w:cs="Century Gothic"/>
                <w:bCs/>
                <w:color w:val="000000"/>
                <w:sz w:val="28"/>
                <w:szCs w:val="28"/>
              </w:rPr>
              <w:t xml:space="preserve">La conducta recaiga sobre un menor de edad </w:t>
            </w:r>
          </w:p>
          <w:p w14:paraId="1539126F" w14:textId="77777777" w:rsidR="00C14292" w:rsidRPr="00D01E92" w:rsidRDefault="00C14292" w:rsidP="00C14292">
            <w:pPr>
              <w:pStyle w:val="Prrafodelista"/>
              <w:numPr>
                <w:ilvl w:val="0"/>
                <w:numId w:val="22"/>
              </w:numPr>
              <w:pBdr>
                <w:top w:val="nil"/>
                <w:left w:val="nil"/>
                <w:bottom w:val="nil"/>
                <w:right w:val="nil"/>
                <w:between w:val="nil"/>
              </w:pBdr>
              <w:spacing w:line="240" w:lineRule="auto"/>
              <w:jc w:val="both"/>
              <w:rPr>
                <w:rFonts w:ascii="Arial Narrow" w:eastAsia="Century Gothic" w:hAnsi="Arial Narrow" w:cs="Century Gothic"/>
                <w:b/>
                <w:color w:val="000000"/>
                <w:sz w:val="28"/>
                <w:szCs w:val="28"/>
              </w:rPr>
            </w:pPr>
            <w:r w:rsidRPr="00D01E92">
              <w:rPr>
                <w:rFonts w:ascii="Arial Narrow" w:eastAsia="Century Gothic" w:hAnsi="Arial Narrow" w:cs="Century Gothic"/>
                <w:bCs/>
                <w:color w:val="000000"/>
                <w:sz w:val="28"/>
                <w:szCs w:val="28"/>
              </w:rPr>
              <w:t xml:space="preserve">La conducta se realice mediante engaño o coacción </w:t>
            </w:r>
          </w:p>
          <w:p w14:paraId="4984E98A" w14:textId="77777777" w:rsidR="00C14292" w:rsidRPr="00D01E92" w:rsidRDefault="00C14292" w:rsidP="00C14292">
            <w:pPr>
              <w:pStyle w:val="Prrafodelista"/>
              <w:numPr>
                <w:ilvl w:val="0"/>
                <w:numId w:val="22"/>
              </w:numPr>
              <w:pBdr>
                <w:top w:val="nil"/>
                <w:left w:val="nil"/>
                <w:bottom w:val="nil"/>
                <w:right w:val="nil"/>
                <w:between w:val="nil"/>
              </w:pBdr>
              <w:spacing w:line="240" w:lineRule="auto"/>
              <w:jc w:val="both"/>
              <w:rPr>
                <w:rFonts w:ascii="Arial Narrow" w:eastAsia="Century Gothic" w:hAnsi="Arial Narrow" w:cs="Century Gothic"/>
                <w:b/>
                <w:color w:val="000000"/>
                <w:sz w:val="28"/>
                <w:szCs w:val="28"/>
              </w:rPr>
            </w:pPr>
            <w:r w:rsidRPr="00D01E92">
              <w:rPr>
                <w:rFonts w:ascii="Arial Narrow" w:eastAsia="Century Gothic" w:hAnsi="Arial Narrow" w:cs="Century Gothic"/>
                <w:bCs/>
                <w:color w:val="000000"/>
                <w:sz w:val="28"/>
                <w:szCs w:val="28"/>
              </w:rPr>
              <w:t xml:space="preserve">El responsable tuviere cualquier carácter, posición o cargo que le de </w:t>
            </w:r>
            <w:r w:rsidRPr="00D01E92">
              <w:rPr>
                <w:rFonts w:ascii="Arial Narrow" w:eastAsia="Century Gothic" w:hAnsi="Arial Narrow" w:cs="Century Gothic"/>
                <w:bCs/>
                <w:color w:val="000000"/>
                <w:sz w:val="28"/>
                <w:szCs w:val="28"/>
              </w:rPr>
              <w:lastRenderedPageBreak/>
              <w:t xml:space="preserve">particular autoridad o poder sobre la víctima. </w:t>
            </w:r>
          </w:p>
          <w:p w14:paraId="0B003C56" w14:textId="77777777" w:rsidR="00C14292" w:rsidRPr="00D01E92" w:rsidRDefault="00C14292" w:rsidP="00BD0F49">
            <w:pPr>
              <w:pBdr>
                <w:top w:val="nil"/>
                <w:left w:val="nil"/>
                <w:bottom w:val="nil"/>
                <w:right w:val="nil"/>
                <w:between w:val="nil"/>
              </w:pBdr>
              <w:jc w:val="both"/>
              <w:rPr>
                <w:rFonts w:ascii="Arial Narrow" w:eastAsia="Century Gothic" w:hAnsi="Arial Narrow" w:cs="Century Gothic"/>
                <w:bCs/>
                <w:color w:val="000000"/>
                <w:sz w:val="28"/>
                <w:szCs w:val="28"/>
              </w:rPr>
            </w:pPr>
            <w:r w:rsidRPr="00D01E92">
              <w:rPr>
                <w:rFonts w:ascii="Arial Narrow" w:eastAsia="Century Gothic" w:hAnsi="Arial Narrow" w:cs="Century Gothic"/>
                <w:bCs/>
                <w:color w:val="000000"/>
                <w:sz w:val="28"/>
                <w:szCs w:val="28"/>
              </w:rPr>
              <w:t xml:space="preserve">A las sanciones previstas en el artículo 379 quedará sujeto el profesional o practicante de medicina, odontología, enfermería, farmacia </w:t>
            </w:r>
            <w:r w:rsidRPr="00D01E92">
              <w:rPr>
                <w:rFonts w:ascii="Arial Narrow" w:eastAsia="Century Gothic" w:hAnsi="Arial Narrow" w:cs="Century Gothic"/>
                <w:b/>
                <w:color w:val="000000"/>
                <w:sz w:val="28"/>
                <w:szCs w:val="28"/>
                <w:u w:val="single"/>
              </w:rPr>
              <w:t>o personal de apoyo del atleta que,</w:t>
            </w:r>
            <w:r w:rsidRPr="00D01E92">
              <w:rPr>
                <w:rFonts w:ascii="Arial Narrow" w:eastAsia="Century Gothic" w:hAnsi="Arial Narrow" w:cs="Century Gothic"/>
                <w:bCs/>
                <w:color w:val="000000"/>
                <w:sz w:val="28"/>
                <w:szCs w:val="28"/>
              </w:rPr>
              <w:t xml:space="preserve"> en ejercicio de ellas, realizare las conductas previstas en este artículo. </w:t>
            </w:r>
          </w:p>
          <w:p w14:paraId="2317639F" w14:textId="77777777" w:rsidR="00C14292" w:rsidRPr="00D01E92" w:rsidRDefault="00C14292" w:rsidP="00BD0F49">
            <w:pPr>
              <w:pBdr>
                <w:top w:val="nil"/>
                <w:left w:val="nil"/>
                <w:bottom w:val="nil"/>
                <w:right w:val="nil"/>
                <w:between w:val="nil"/>
              </w:pBdr>
              <w:jc w:val="both"/>
              <w:rPr>
                <w:rFonts w:ascii="Arial Narrow" w:eastAsia="Century Gothic" w:hAnsi="Arial Narrow" w:cs="Century Gothic"/>
                <w:b/>
                <w:color w:val="000000"/>
                <w:sz w:val="28"/>
                <w:szCs w:val="28"/>
              </w:rPr>
            </w:pPr>
          </w:p>
        </w:tc>
      </w:tr>
      <w:tr w:rsidR="00C14292" w:rsidRPr="00D01E92" w14:paraId="71AE0758" w14:textId="77777777" w:rsidTr="00BD0F49">
        <w:tc>
          <w:tcPr>
            <w:tcW w:w="4350" w:type="dxa"/>
          </w:tcPr>
          <w:p w14:paraId="11A7DE09" w14:textId="77777777" w:rsidR="00C14292" w:rsidRPr="00D01E92" w:rsidRDefault="00C14292" w:rsidP="00BD0F49">
            <w:pPr>
              <w:pBdr>
                <w:top w:val="nil"/>
                <w:left w:val="nil"/>
                <w:bottom w:val="nil"/>
                <w:right w:val="nil"/>
                <w:between w:val="nil"/>
              </w:pBdr>
              <w:jc w:val="both"/>
              <w:rPr>
                <w:rFonts w:ascii="Arial Narrow" w:eastAsia="Century Gothic" w:hAnsi="Arial Narrow" w:cs="Century Gothic"/>
                <w:bCs/>
                <w:color w:val="000000"/>
                <w:sz w:val="28"/>
                <w:szCs w:val="28"/>
              </w:rPr>
            </w:pPr>
            <w:r w:rsidRPr="00D01E92">
              <w:rPr>
                <w:rFonts w:ascii="Arial Narrow" w:eastAsia="Century Gothic" w:hAnsi="Arial Narrow" w:cs="Century Gothic"/>
                <w:b/>
                <w:color w:val="000000"/>
                <w:sz w:val="28"/>
                <w:szCs w:val="28"/>
              </w:rPr>
              <w:lastRenderedPageBreak/>
              <w:t>Artículo 2. Vigencia</w:t>
            </w:r>
            <w:r w:rsidRPr="00D01E92">
              <w:rPr>
                <w:rFonts w:ascii="Arial Narrow" w:eastAsia="Century Gothic" w:hAnsi="Arial Narrow" w:cs="Century Gothic"/>
                <w:bCs/>
                <w:color w:val="000000"/>
                <w:sz w:val="28"/>
                <w:szCs w:val="28"/>
              </w:rPr>
              <w:t xml:space="preserve">. La presente Ley entrará en vigencia a partir de su promulgación. </w:t>
            </w:r>
          </w:p>
        </w:tc>
        <w:tc>
          <w:tcPr>
            <w:tcW w:w="4725" w:type="dxa"/>
          </w:tcPr>
          <w:p w14:paraId="6FFDABA0" w14:textId="77777777" w:rsidR="00C14292" w:rsidRPr="00D01E92" w:rsidRDefault="00C14292" w:rsidP="00BD0F49">
            <w:pPr>
              <w:pBdr>
                <w:top w:val="nil"/>
                <w:left w:val="nil"/>
                <w:bottom w:val="nil"/>
                <w:right w:val="nil"/>
                <w:between w:val="nil"/>
              </w:pBdr>
              <w:jc w:val="both"/>
              <w:rPr>
                <w:rFonts w:ascii="Arial Narrow" w:eastAsia="Century Gothic" w:hAnsi="Arial Narrow" w:cs="Century Gothic"/>
                <w:sz w:val="28"/>
                <w:szCs w:val="28"/>
              </w:rPr>
            </w:pPr>
            <w:r w:rsidRPr="00D01E92">
              <w:rPr>
                <w:rFonts w:ascii="Arial Narrow" w:eastAsia="Century Gothic" w:hAnsi="Arial Narrow" w:cs="Century Gothic"/>
                <w:b/>
                <w:color w:val="000000"/>
                <w:sz w:val="28"/>
                <w:szCs w:val="28"/>
              </w:rPr>
              <w:t>Artículo 2. Vigencia</w:t>
            </w:r>
            <w:r w:rsidRPr="00D01E92">
              <w:rPr>
                <w:rFonts w:ascii="Arial Narrow" w:eastAsia="Century Gothic" w:hAnsi="Arial Narrow" w:cs="Century Gothic"/>
                <w:bCs/>
                <w:color w:val="000000"/>
                <w:sz w:val="28"/>
                <w:szCs w:val="28"/>
              </w:rPr>
              <w:t>. La presente Ley entrará en vigencia a partir de su promulgación.</w:t>
            </w:r>
          </w:p>
        </w:tc>
      </w:tr>
    </w:tbl>
    <w:p w14:paraId="3C5C9C4D" w14:textId="50CE8022" w:rsidR="00C14292" w:rsidRDefault="00C14292" w:rsidP="00C14292">
      <w:pPr>
        <w:pBdr>
          <w:top w:val="nil"/>
          <w:left w:val="nil"/>
          <w:bottom w:val="nil"/>
          <w:right w:val="nil"/>
          <w:between w:val="nil"/>
        </w:pBdr>
        <w:jc w:val="both"/>
        <w:rPr>
          <w:rFonts w:ascii="Arial Narrow" w:eastAsia="Century Gothic" w:hAnsi="Arial Narrow" w:cs="Century Gothic"/>
          <w:sz w:val="28"/>
          <w:szCs w:val="28"/>
        </w:rPr>
      </w:pPr>
    </w:p>
    <w:p w14:paraId="1D16885F" w14:textId="047A6D32" w:rsidR="00B27B98" w:rsidRDefault="00B27B98" w:rsidP="00C14292">
      <w:pPr>
        <w:pBdr>
          <w:top w:val="nil"/>
          <w:left w:val="nil"/>
          <w:bottom w:val="nil"/>
          <w:right w:val="nil"/>
          <w:between w:val="nil"/>
        </w:pBdr>
        <w:jc w:val="both"/>
        <w:rPr>
          <w:rFonts w:ascii="Arial Narrow" w:eastAsia="Century Gothic" w:hAnsi="Arial Narrow" w:cs="Century Gothic"/>
          <w:sz w:val="28"/>
          <w:szCs w:val="28"/>
        </w:rPr>
      </w:pPr>
    </w:p>
    <w:p w14:paraId="67BBD1FB" w14:textId="2B737A94" w:rsidR="00B27B98" w:rsidRDefault="00B27B98" w:rsidP="00C14292">
      <w:pPr>
        <w:pBdr>
          <w:top w:val="nil"/>
          <w:left w:val="nil"/>
          <w:bottom w:val="nil"/>
          <w:right w:val="nil"/>
          <w:between w:val="nil"/>
        </w:pBdr>
        <w:jc w:val="both"/>
        <w:rPr>
          <w:rFonts w:ascii="Arial Narrow" w:eastAsia="Century Gothic" w:hAnsi="Arial Narrow" w:cs="Century Gothic"/>
          <w:sz w:val="28"/>
          <w:szCs w:val="28"/>
        </w:rPr>
      </w:pPr>
    </w:p>
    <w:p w14:paraId="083244EE" w14:textId="0B8B04AE" w:rsidR="00B27B98" w:rsidRDefault="00B27B98" w:rsidP="00C14292">
      <w:pPr>
        <w:pBdr>
          <w:top w:val="nil"/>
          <w:left w:val="nil"/>
          <w:bottom w:val="nil"/>
          <w:right w:val="nil"/>
          <w:between w:val="nil"/>
        </w:pBdr>
        <w:jc w:val="both"/>
        <w:rPr>
          <w:rFonts w:ascii="Arial Narrow" w:eastAsia="Century Gothic" w:hAnsi="Arial Narrow" w:cs="Century Gothic"/>
          <w:sz w:val="28"/>
          <w:szCs w:val="28"/>
        </w:rPr>
      </w:pPr>
    </w:p>
    <w:p w14:paraId="6F3F2CBF" w14:textId="65A49BA9" w:rsidR="00B27B98" w:rsidRDefault="00B27B98" w:rsidP="00C14292">
      <w:pPr>
        <w:pBdr>
          <w:top w:val="nil"/>
          <w:left w:val="nil"/>
          <w:bottom w:val="nil"/>
          <w:right w:val="nil"/>
          <w:between w:val="nil"/>
        </w:pBdr>
        <w:jc w:val="both"/>
        <w:rPr>
          <w:rFonts w:ascii="Arial Narrow" w:eastAsia="Century Gothic" w:hAnsi="Arial Narrow" w:cs="Century Gothic"/>
          <w:sz w:val="28"/>
          <w:szCs w:val="28"/>
        </w:rPr>
      </w:pPr>
    </w:p>
    <w:p w14:paraId="76F4A165" w14:textId="21E09B53" w:rsidR="00B27B98" w:rsidRDefault="00B27B98" w:rsidP="00C14292">
      <w:pPr>
        <w:pBdr>
          <w:top w:val="nil"/>
          <w:left w:val="nil"/>
          <w:bottom w:val="nil"/>
          <w:right w:val="nil"/>
          <w:between w:val="nil"/>
        </w:pBdr>
        <w:jc w:val="both"/>
        <w:rPr>
          <w:rFonts w:ascii="Arial Narrow" w:eastAsia="Century Gothic" w:hAnsi="Arial Narrow" w:cs="Century Gothic"/>
          <w:sz w:val="28"/>
          <w:szCs w:val="28"/>
        </w:rPr>
      </w:pPr>
    </w:p>
    <w:p w14:paraId="40B38DE7" w14:textId="4357AD16" w:rsidR="00B27B98" w:rsidRDefault="00B27B98" w:rsidP="00C14292">
      <w:pPr>
        <w:pBdr>
          <w:top w:val="nil"/>
          <w:left w:val="nil"/>
          <w:bottom w:val="nil"/>
          <w:right w:val="nil"/>
          <w:between w:val="nil"/>
        </w:pBdr>
        <w:jc w:val="both"/>
        <w:rPr>
          <w:rFonts w:ascii="Arial Narrow" w:eastAsia="Century Gothic" w:hAnsi="Arial Narrow" w:cs="Century Gothic"/>
          <w:sz w:val="28"/>
          <w:szCs w:val="28"/>
        </w:rPr>
      </w:pPr>
    </w:p>
    <w:p w14:paraId="1597FA7D" w14:textId="02714A8E" w:rsidR="00B27B98" w:rsidRDefault="00B27B98" w:rsidP="00C14292">
      <w:pPr>
        <w:pBdr>
          <w:top w:val="nil"/>
          <w:left w:val="nil"/>
          <w:bottom w:val="nil"/>
          <w:right w:val="nil"/>
          <w:between w:val="nil"/>
        </w:pBdr>
        <w:jc w:val="both"/>
        <w:rPr>
          <w:rFonts w:ascii="Arial Narrow" w:eastAsia="Century Gothic" w:hAnsi="Arial Narrow" w:cs="Century Gothic"/>
          <w:sz w:val="28"/>
          <w:szCs w:val="28"/>
        </w:rPr>
      </w:pPr>
    </w:p>
    <w:p w14:paraId="4F45E574" w14:textId="47807201" w:rsidR="00B27B98" w:rsidRDefault="00B27B98" w:rsidP="00C14292">
      <w:pPr>
        <w:pBdr>
          <w:top w:val="nil"/>
          <w:left w:val="nil"/>
          <w:bottom w:val="nil"/>
          <w:right w:val="nil"/>
          <w:between w:val="nil"/>
        </w:pBdr>
        <w:jc w:val="both"/>
        <w:rPr>
          <w:rFonts w:ascii="Arial Narrow" w:eastAsia="Century Gothic" w:hAnsi="Arial Narrow" w:cs="Century Gothic"/>
          <w:sz w:val="28"/>
          <w:szCs w:val="28"/>
        </w:rPr>
      </w:pPr>
    </w:p>
    <w:p w14:paraId="25A25932" w14:textId="60449BEB" w:rsidR="00B27B98" w:rsidRDefault="00B27B98" w:rsidP="00C14292">
      <w:pPr>
        <w:pBdr>
          <w:top w:val="nil"/>
          <w:left w:val="nil"/>
          <w:bottom w:val="nil"/>
          <w:right w:val="nil"/>
          <w:between w:val="nil"/>
        </w:pBdr>
        <w:jc w:val="both"/>
        <w:rPr>
          <w:rFonts w:ascii="Arial Narrow" w:eastAsia="Century Gothic" w:hAnsi="Arial Narrow" w:cs="Century Gothic"/>
          <w:sz w:val="28"/>
          <w:szCs w:val="28"/>
        </w:rPr>
      </w:pPr>
    </w:p>
    <w:p w14:paraId="431E6E86" w14:textId="0182D098" w:rsidR="00B27B98" w:rsidRDefault="00B27B98" w:rsidP="00C14292">
      <w:pPr>
        <w:pBdr>
          <w:top w:val="nil"/>
          <w:left w:val="nil"/>
          <w:bottom w:val="nil"/>
          <w:right w:val="nil"/>
          <w:between w:val="nil"/>
        </w:pBdr>
        <w:jc w:val="both"/>
        <w:rPr>
          <w:rFonts w:ascii="Arial Narrow" w:eastAsia="Century Gothic" w:hAnsi="Arial Narrow" w:cs="Century Gothic"/>
          <w:sz w:val="28"/>
          <w:szCs w:val="28"/>
        </w:rPr>
      </w:pPr>
    </w:p>
    <w:p w14:paraId="09A5AEF6" w14:textId="23BFE756" w:rsidR="00B27B98" w:rsidRPr="00D01E92" w:rsidRDefault="00B27B98" w:rsidP="00C14292">
      <w:pPr>
        <w:pBdr>
          <w:top w:val="nil"/>
          <w:left w:val="nil"/>
          <w:bottom w:val="nil"/>
          <w:right w:val="nil"/>
          <w:between w:val="nil"/>
        </w:pBdr>
        <w:jc w:val="both"/>
        <w:rPr>
          <w:rFonts w:ascii="Arial Narrow" w:eastAsia="Century Gothic" w:hAnsi="Arial Narrow" w:cs="Century Gothic"/>
          <w:sz w:val="28"/>
          <w:szCs w:val="28"/>
        </w:rPr>
      </w:pPr>
    </w:p>
    <w:p w14:paraId="47E50E03" w14:textId="77777777" w:rsidR="00C14292" w:rsidRPr="00D01E92" w:rsidRDefault="00C14292" w:rsidP="00C14292">
      <w:pPr>
        <w:rPr>
          <w:rFonts w:ascii="Arial Narrow" w:eastAsia="Century Gothic" w:hAnsi="Arial Narrow" w:cs="Century Gothic"/>
          <w:b/>
          <w:sz w:val="28"/>
          <w:szCs w:val="28"/>
        </w:rPr>
      </w:pPr>
      <w:r w:rsidRPr="00D01E92">
        <w:rPr>
          <w:rFonts w:ascii="Arial Narrow" w:eastAsia="Century Gothic" w:hAnsi="Arial Narrow" w:cs="Century Gothic"/>
          <w:b/>
          <w:sz w:val="28"/>
          <w:szCs w:val="28"/>
        </w:rPr>
        <w:lastRenderedPageBreak/>
        <w:t>VI. PROPOSICIÓN</w:t>
      </w:r>
    </w:p>
    <w:p w14:paraId="39577357" w14:textId="77777777" w:rsidR="00C14292" w:rsidRPr="00D01E92" w:rsidRDefault="00C14292" w:rsidP="00C14292">
      <w:pPr>
        <w:spacing w:after="160" w:line="256" w:lineRule="auto"/>
        <w:jc w:val="both"/>
        <w:rPr>
          <w:rFonts w:ascii="Arial Narrow" w:eastAsia="Century Gothic" w:hAnsi="Arial Narrow" w:cs="Century Gothic"/>
          <w:i/>
          <w:sz w:val="28"/>
          <w:szCs w:val="28"/>
        </w:rPr>
      </w:pPr>
      <w:r w:rsidRPr="00D01E92">
        <w:rPr>
          <w:rFonts w:ascii="Arial Narrow" w:eastAsia="Century Gothic" w:hAnsi="Arial Narrow" w:cs="Century Gothic"/>
          <w:sz w:val="28"/>
          <w:szCs w:val="28"/>
        </w:rPr>
        <w:t xml:space="preserve">De conformidad con las anteriores consideraciones y en cumplimiento de los requisitos establecidos en la Ley 5ª de 1992, presentamos ponencia favorable y en consecuencia se solicita a los miembros de la Comisión Primera de la Honorable Cámara de Representantes, dar primer debate al Proyecto de Ley número 252 de 2019 Cámara </w:t>
      </w:r>
      <w:r w:rsidRPr="00D01E92">
        <w:rPr>
          <w:rFonts w:ascii="Arial Narrow" w:eastAsia="Century Gothic" w:hAnsi="Arial Narrow" w:cs="Century Gothic"/>
          <w:bCs/>
          <w:i/>
          <w:iCs/>
          <w:color w:val="000000"/>
          <w:sz w:val="28"/>
          <w:szCs w:val="28"/>
        </w:rPr>
        <w:t>“Por medio del cual se modifica el artículo 380 del Código Penal (Ley 599 de 2000)”</w:t>
      </w:r>
    </w:p>
    <w:p w14:paraId="6AF099CF" w14:textId="77777777" w:rsidR="00C14292" w:rsidRPr="00D01E92" w:rsidRDefault="00C14292" w:rsidP="00C14292">
      <w:pPr>
        <w:rPr>
          <w:rFonts w:ascii="Arial Narrow" w:eastAsia="Century Gothic" w:hAnsi="Arial Narrow" w:cs="Century Gothic"/>
          <w:b/>
          <w:sz w:val="28"/>
          <w:szCs w:val="28"/>
        </w:rPr>
      </w:pPr>
    </w:p>
    <w:p w14:paraId="2B4985CC" w14:textId="77777777" w:rsidR="00C14292" w:rsidRPr="00D01E92" w:rsidRDefault="00C14292" w:rsidP="00C14292">
      <w:pPr>
        <w:pBdr>
          <w:top w:val="nil"/>
          <w:left w:val="nil"/>
          <w:bottom w:val="nil"/>
          <w:right w:val="nil"/>
          <w:between w:val="nil"/>
        </w:pBdr>
        <w:jc w:val="both"/>
        <w:rPr>
          <w:rFonts w:ascii="Arial Narrow" w:eastAsia="Century Gothic" w:hAnsi="Arial Narrow" w:cs="Century Gothic"/>
          <w:color w:val="000000"/>
          <w:sz w:val="28"/>
          <w:szCs w:val="28"/>
        </w:rPr>
      </w:pPr>
      <w:r w:rsidRPr="00D01E92">
        <w:rPr>
          <w:rFonts w:ascii="Arial Narrow" w:eastAsia="Century Gothic" w:hAnsi="Arial Narrow" w:cs="Century Gothic"/>
          <w:color w:val="000000"/>
          <w:sz w:val="28"/>
          <w:szCs w:val="28"/>
        </w:rPr>
        <w:t>De los Honorables Representantes:</w:t>
      </w:r>
    </w:p>
    <w:p w14:paraId="3E9EB6A8" w14:textId="77777777" w:rsidR="00C14292" w:rsidRPr="00D01E92" w:rsidRDefault="00C14292" w:rsidP="00C14292">
      <w:pPr>
        <w:pBdr>
          <w:top w:val="nil"/>
          <w:left w:val="nil"/>
          <w:bottom w:val="nil"/>
          <w:right w:val="nil"/>
          <w:between w:val="nil"/>
        </w:pBdr>
        <w:jc w:val="both"/>
        <w:rPr>
          <w:rFonts w:ascii="Arial Narrow" w:eastAsia="Century Gothic" w:hAnsi="Arial Narrow" w:cs="Century Gothic"/>
          <w:color w:val="000000"/>
          <w:sz w:val="28"/>
          <w:szCs w:val="28"/>
        </w:rPr>
      </w:pPr>
    </w:p>
    <w:tbl>
      <w:tblPr>
        <w:tblW w:w="8852" w:type="dxa"/>
        <w:tblBorders>
          <w:top w:val="nil"/>
          <w:left w:val="nil"/>
          <w:bottom w:val="nil"/>
          <w:right w:val="nil"/>
          <w:insideH w:val="nil"/>
          <w:insideV w:val="nil"/>
        </w:tblBorders>
        <w:tblLayout w:type="fixed"/>
        <w:tblLook w:val="0400" w:firstRow="0" w:lastRow="0" w:firstColumn="0" w:lastColumn="0" w:noHBand="0" w:noVBand="1"/>
      </w:tblPr>
      <w:tblGrid>
        <w:gridCol w:w="4428"/>
        <w:gridCol w:w="4224"/>
        <w:gridCol w:w="200"/>
      </w:tblGrid>
      <w:tr w:rsidR="00C14292" w:rsidRPr="00D01E92" w14:paraId="06ADD2DE" w14:textId="77777777" w:rsidTr="00BD0F49">
        <w:trPr>
          <w:trHeight w:val="2180"/>
        </w:trPr>
        <w:tc>
          <w:tcPr>
            <w:tcW w:w="4428" w:type="dxa"/>
          </w:tcPr>
          <w:p w14:paraId="69D212CF" w14:textId="77777777" w:rsidR="00C14292" w:rsidRPr="00D01E92" w:rsidRDefault="00C14292" w:rsidP="00BD0F49">
            <w:pPr>
              <w:contextualSpacing/>
              <w:jc w:val="both"/>
              <w:rPr>
                <w:rFonts w:ascii="Arial Narrow" w:eastAsia="Century Gothic" w:hAnsi="Arial Narrow" w:cs="Century Gothic"/>
                <w:b/>
                <w:sz w:val="28"/>
                <w:szCs w:val="28"/>
              </w:rPr>
            </w:pPr>
          </w:p>
          <w:p w14:paraId="3B288FDA" w14:textId="77777777" w:rsidR="00C14292" w:rsidRPr="00D01E92" w:rsidRDefault="00C14292" w:rsidP="00BD0F49">
            <w:pPr>
              <w:contextualSpacing/>
              <w:jc w:val="both"/>
              <w:rPr>
                <w:rFonts w:ascii="Arial Narrow" w:eastAsia="Century Gothic" w:hAnsi="Arial Narrow" w:cs="Century Gothic"/>
                <w:b/>
                <w:sz w:val="28"/>
                <w:szCs w:val="28"/>
              </w:rPr>
            </w:pPr>
          </w:p>
          <w:p w14:paraId="1E237351" w14:textId="77777777" w:rsidR="00C14292" w:rsidRPr="00D01E92" w:rsidRDefault="00C14292" w:rsidP="00BD0F49">
            <w:pPr>
              <w:contextualSpacing/>
              <w:jc w:val="both"/>
              <w:rPr>
                <w:rFonts w:ascii="Arial Narrow" w:eastAsia="Century Gothic" w:hAnsi="Arial Narrow" w:cs="Century Gothic"/>
                <w:b/>
                <w:sz w:val="28"/>
                <w:szCs w:val="28"/>
              </w:rPr>
            </w:pPr>
          </w:p>
          <w:p w14:paraId="510BAB17" w14:textId="77777777" w:rsidR="00C14292" w:rsidRPr="00D01E92" w:rsidRDefault="00C14292" w:rsidP="00BD0F49">
            <w:pPr>
              <w:contextualSpacing/>
              <w:jc w:val="both"/>
              <w:rPr>
                <w:rFonts w:ascii="Arial Narrow" w:eastAsia="Century Gothic" w:hAnsi="Arial Narrow" w:cs="Century Gothic"/>
                <w:b/>
                <w:sz w:val="28"/>
                <w:szCs w:val="28"/>
              </w:rPr>
            </w:pPr>
          </w:p>
          <w:p w14:paraId="47AF61D4" w14:textId="77777777" w:rsidR="00C14292" w:rsidRPr="00D01E92" w:rsidRDefault="00C14292" w:rsidP="00BD0F49">
            <w:pPr>
              <w:contextualSpacing/>
              <w:jc w:val="both"/>
              <w:rPr>
                <w:rFonts w:ascii="Arial Narrow" w:eastAsia="Century Gothic" w:hAnsi="Arial Narrow" w:cs="Century Gothic"/>
                <w:b/>
                <w:sz w:val="28"/>
                <w:szCs w:val="28"/>
              </w:rPr>
            </w:pPr>
            <w:r w:rsidRPr="00D01E92">
              <w:rPr>
                <w:rFonts w:ascii="Arial Narrow" w:eastAsia="Century Gothic" w:hAnsi="Arial Narrow" w:cs="Century Gothic"/>
                <w:b/>
                <w:sz w:val="28"/>
                <w:szCs w:val="28"/>
              </w:rPr>
              <w:t xml:space="preserve">HERNÁN GUSTAVO ESTUPIÑÁN. </w:t>
            </w:r>
          </w:p>
          <w:p w14:paraId="2E48DF01" w14:textId="77777777" w:rsidR="00C14292" w:rsidRPr="00D01E92" w:rsidRDefault="00C14292" w:rsidP="00BD0F49">
            <w:pPr>
              <w:contextualSpacing/>
              <w:jc w:val="both"/>
              <w:rPr>
                <w:rFonts w:ascii="Arial Narrow" w:eastAsia="Century Gothic" w:hAnsi="Arial Narrow" w:cs="Century Gothic"/>
                <w:sz w:val="28"/>
                <w:szCs w:val="28"/>
              </w:rPr>
            </w:pPr>
            <w:r w:rsidRPr="00D01E92">
              <w:rPr>
                <w:rFonts w:ascii="Arial Narrow" w:eastAsia="Century Gothic" w:hAnsi="Arial Narrow" w:cs="Century Gothic"/>
                <w:sz w:val="28"/>
                <w:szCs w:val="28"/>
              </w:rPr>
              <w:t>Representante a la Cámara</w:t>
            </w:r>
          </w:p>
          <w:p w14:paraId="3C9FECCD" w14:textId="77777777" w:rsidR="00C14292" w:rsidRPr="00D01E92" w:rsidRDefault="00C14292" w:rsidP="00BD0F49">
            <w:pPr>
              <w:contextualSpacing/>
              <w:jc w:val="both"/>
              <w:rPr>
                <w:rFonts w:ascii="Arial Narrow" w:eastAsia="Century Gothic" w:hAnsi="Arial Narrow" w:cs="Century Gothic"/>
                <w:b/>
                <w:sz w:val="28"/>
                <w:szCs w:val="28"/>
              </w:rPr>
            </w:pPr>
            <w:r w:rsidRPr="00D01E92">
              <w:rPr>
                <w:rFonts w:ascii="Arial Narrow" w:eastAsia="Century Gothic" w:hAnsi="Arial Narrow" w:cs="Century Gothic"/>
                <w:sz w:val="28"/>
                <w:szCs w:val="28"/>
              </w:rPr>
              <w:t>Partido Liberal</w:t>
            </w:r>
            <w:r w:rsidRPr="00D01E92">
              <w:rPr>
                <w:rFonts w:ascii="Arial Narrow" w:eastAsia="Century Gothic" w:hAnsi="Arial Narrow" w:cs="Century Gothic"/>
                <w:b/>
                <w:sz w:val="28"/>
                <w:szCs w:val="28"/>
              </w:rPr>
              <w:t xml:space="preserve"> </w:t>
            </w:r>
          </w:p>
          <w:p w14:paraId="5E4C3A3B" w14:textId="77777777" w:rsidR="00C14292" w:rsidRPr="00D01E92" w:rsidRDefault="00C14292" w:rsidP="00BD0F49">
            <w:pPr>
              <w:contextualSpacing/>
              <w:jc w:val="both"/>
              <w:rPr>
                <w:rFonts w:ascii="Arial Narrow" w:eastAsia="Century Gothic" w:hAnsi="Arial Narrow" w:cs="Century Gothic"/>
                <w:sz w:val="28"/>
                <w:szCs w:val="28"/>
              </w:rPr>
            </w:pPr>
          </w:p>
        </w:tc>
        <w:tc>
          <w:tcPr>
            <w:tcW w:w="4424" w:type="dxa"/>
            <w:gridSpan w:val="2"/>
          </w:tcPr>
          <w:p w14:paraId="2D62C765" w14:textId="77777777" w:rsidR="00C14292" w:rsidRPr="00D01E92" w:rsidRDefault="00C14292" w:rsidP="00BD0F49">
            <w:pPr>
              <w:ind w:left="182" w:hanging="182"/>
              <w:contextualSpacing/>
              <w:jc w:val="both"/>
              <w:rPr>
                <w:rFonts w:ascii="Arial Narrow" w:eastAsia="Century Gothic" w:hAnsi="Arial Narrow" w:cs="Century Gothic"/>
                <w:b/>
                <w:sz w:val="28"/>
                <w:szCs w:val="28"/>
              </w:rPr>
            </w:pPr>
          </w:p>
          <w:p w14:paraId="41883EFD" w14:textId="77777777" w:rsidR="00C14292" w:rsidRPr="00D01E92" w:rsidRDefault="00C14292" w:rsidP="00BD0F49">
            <w:pPr>
              <w:ind w:left="182" w:hanging="182"/>
              <w:contextualSpacing/>
              <w:jc w:val="both"/>
              <w:rPr>
                <w:rFonts w:ascii="Arial Narrow" w:eastAsia="Century Gothic" w:hAnsi="Arial Narrow" w:cs="Century Gothic"/>
                <w:b/>
                <w:sz w:val="28"/>
                <w:szCs w:val="28"/>
              </w:rPr>
            </w:pPr>
          </w:p>
          <w:p w14:paraId="22E54CD3" w14:textId="77777777" w:rsidR="00C14292" w:rsidRPr="00D01E92" w:rsidRDefault="00C14292" w:rsidP="00BD0F49">
            <w:pPr>
              <w:contextualSpacing/>
              <w:jc w:val="both"/>
              <w:rPr>
                <w:rFonts w:ascii="Arial Narrow" w:eastAsia="Century Gothic" w:hAnsi="Arial Narrow" w:cs="Century Gothic"/>
                <w:b/>
                <w:sz w:val="28"/>
                <w:szCs w:val="28"/>
              </w:rPr>
            </w:pPr>
          </w:p>
          <w:p w14:paraId="51C0F71E" w14:textId="77777777" w:rsidR="00C14292" w:rsidRPr="00D01E92" w:rsidRDefault="00C14292" w:rsidP="00BD0F49">
            <w:pPr>
              <w:contextualSpacing/>
              <w:jc w:val="both"/>
              <w:rPr>
                <w:rFonts w:ascii="Arial Narrow" w:eastAsia="Century Gothic" w:hAnsi="Arial Narrow" w:cs="Century Gothic"/>
                <w:b/>
                <w:sz w:val="28"/>
                <w:szCs w:val="28"/>
              </w:rPr>
            </w:pPr>
          </w:p>
          <w:p w14:paraId="72D52A23" w14:textId="77777777" w:rsidR="00C14292" w:rsidRPr="00D01E92" w:rsidRDefault="00C14292" w:rsidP="00BD0F49">
            <w:pPr>
              <w:ind w:left="182" w:hanging="182"/>
              <w:contextualSpacing/>
              <w:jc w:val="both"/>
              <w:rPr>
                <w:rFonts w:ascii="Arial Narrow" w:eastAsia="Century Gothic" w:hAnsi="Arial Narrow" w:cs="Century Gothic"/>
                <w:b/>
                <w:sz w:val="28"/>
                <w:szCs w:val="28"/>
              </w:rPr>
            </w:pPr>
            <w:r w:rsidRPr="00D01E92">
              <w:rPr>
                <w:rFonts w:ascii="Arial Narrow" w:eastAsia="Century Gothic" w:hAnsi="Arial Narrow" w:cs="Century Gothic"/>
                <w:b/>
                <w:sz w:val="28"/>
                <w:szCs w:val="28"/>
              </w:rPr>
              <w:t xml:space="preserve">JAIME RODRIGUEZ CONTRERAS </w:t>
            </w:r>
          </w:p>
          <w:p w14:paraId="76BE84A9" w14:textId="77777777" w:rsidR="00C14292" w:rsidRPr="00D01E92" w:rsidRDefault="00C14292" w:rsidP="00BD0F49">
            <w:pPr>
              <w:ind w:left="182" w:hanging="182"/>
              <w:contextualSpacing/>
              <w:jc w:val="both"/>
              <w:rPr>
                <w:rFonts w:ascii="Arial Narrow" w:eastAsia="Century Gothic" w:hAnsi="Arial Narrow" w:cs="Century Gothic"/>
                <w:sz w:val="28"/>
                <w:szCs w:val="28"/>
              </w:rPr>
            </w:pPr>
            <w:r w:rsidRPr="00D01E92">
              <w:rPr>
                <w:rFonts w:ascii="Arial Narrow" w:eastAsia="Century Gothic" w:hAnsi="Arial Narrow" w:cs="Century Gothic"/>
                <w:sz w:val="28"/>
                <w:szCs w:val="28"/>
              </w:rPr>
              <w:t>Representante a la Cámara</w:t>
            </w:r>
          </w:p>
          <w:p w14:paraId="05F442A8" w14:textId="77777777" w:rsidR="00C14292" w:rsidRPr="00D01E92" w:rsidRDefault="00C14292" w:rsidP="00BD0F49">
            <w:pPr>
              <w:ind w:left="182" w:hanging="182"/>
              <w:contextualSpacing/>
              <w:jc w:val="both"/>
              <w:rPr>
                <w:rFonts w:ascii="Arial Narrow" w:eastAsia="Century Gothic" w:hAnsi="Arial Narrow" w:cs="Century Gothic"/>
                <w:b/>
                <w:sz w:val="28"/>
                <w:szCs w:val="28"/>
              </w:rPr>
            </w:pPr>
            <w:r w:rsidRPr="00D01E92">
              <w:rPr>
                <w:rFonts w:ascii="Arial Narrow" w:eastAsia="Century Gothic" w:hAnsi="Arial Narrow" w:cs="Century Gothic"/>
                <w:sz w:val="28"/>
                <w:szCs w:val="28"/>
              </w:rPr>
              <w:t xml:space="preserve">Partido Cambio Radical </w:t>
            </w:r>
          </w:p>
        </w:tc>
      </w:tr>
      <w:tr w:rsidR="00C14292" w:rsidRPr="00D01E92" w14:paraId="35B4B596" w14:textId="77777777" w:rsidTr="00BD0F49">
        <w:trPr>
          <w:gridAfter w:val="1"/>
          <w:wAfter w:w="200" w:type="dxa"/>
          <w:trHeight w:val="1880"/>
        </w:trPr>
        <w:tc>
          <w:tcPr>
            <w:tcW w:w="4428" w:type="dxa"/>
          </w:tcPr>
          <w:p w14:paraId="557F4C17" w14:textId="77777777" w:rsidR="00C14292" w:rsidRPr="00D01E92" w:rsidRDefault="00C14292" w:rsidP="00BD0F49">
            <w:pPr>
              <w:jc w:val="both"/>
              <w:rPr>
                <w:rFonts w:ascii="Arial Narrow" w:eastAsia="Century Gothic" w:hAnsi="Arial Narrow" w:cs="Century Gothic"/>
                <w:b/>
                <w:sz w:val="28"/>
                <w:szCs w:val="28"/>
              </w:rPr>
            </w:pPr>
          </w:p>
          <w:p w14:paraId="0F96E61A" w14:textId="77777777" w:rsidR="00C14292" w:rsidRPr="00D01E92" w:rsidRDefault="00C14292" w:rsidP="00BD0F49">
            <w:pPr>
              <w:jc w:val="both"/>
              <w:rPr>
                <w:rFonts w:ascii="Arial Narrow" w:eastAsia="Century Gothic" w:hAnsi="Arial Narrow" w:cs="Century Gothic"/>
                <w:b/>
                <w:sz w:val="28"/>
                <w:szCs w:val="28"/>
              </w:rPr>
            </w:pPr>
          </w:p>
          <w:p w14:paraId="376251EA" w14:textId="2A940909" w:rsidR="00C14292" w:rsidRPr="00D01E92" w:rsidRDefault="00C14292" w:rsidP="00BD0F49">
            <w:pPr>
              <w:jc w:val="both"/>
              <w:rPr>
                <w:rFonts w:ascii="Arial Narrow" w:eastAsia="Century Gothic" w:hAnsi="Arial Narrow" w:cs="Century Gothic"/>
                <w:b/>
                <w:sz w:val="28"/>
                <w:szCs w:val="28"/>
              </w:rPr>
            </w:pPr>
          </w:p>
          <w:p w14:paraId="51ED50CE" w14:textId="77777777" w:rsidR="00C14292" w:rsidRPr="00D01E92" w:rsidRDefault="00C14292" w:rsidP="00BD0F49">
            <w:pPr>
              <w:jc w:val="both"/>
              <w:rPr>
                <w:rFonts w:ascii="Arial Narrow" w:eastAsia="Century Gothic" w:hAnsi="Arial Narrow" w:cs="Century Gothic"/>
                <w:b/>
                <w:sz w:val="28"/>
                <w:szCs w:val="28"/>
              </w:rPr>
            </w:pPr>
            <w:r w:rsidRPr="00D01E92">
              <w:rPr>
                <w:rFonts w:ascii="Arial Narrow" w:eastAsia="Century Gothic" w:hAnsi="Arial Narrow" w:cs="Century Gothic"/>
                <w:b/>
                <w:sz w:val="28"/>
                <w:szCs w:val="28"/>
              </w:rPr>
              <w:t xml:space="preserve">EDWARD DAVID RODRIGUEZ R. </w:t>
            </w:r>
          </w:p>
          <w:p w14:paraId="1841BDAA" w14:textId="77777777" w:rsidR="00C14292" w:rsidRPr="00D01E92" w:rsidRDefault="00C14292" w:rsidP="00BD0F49">
            <w:pPr>
              <w:jc w:val="both"/>
              <w:rPr>
                <w:rFonts w:ascii="Arial Narrow" w:eastAsia="Century Gothic" w:hAnsi="Arial Narrow" w:cs="Century Gothic"/>
                <w:sz w:val="28"/>
                <w:szCs w:val="28"/>
              </w:rPr>
            </w:pPr>
            <w:r w:rsidRPr="00D01E92">
              <w:rPr>
                <w:rFonts w:ascii="Arial Narrow" w:eastAsia="Century Gothic" w:hAnsi="Arial Narrow" w:cs="Century Gothic"/>
                <w:sz w:val="28"/>
                <w:szCs w:val="28"/>
              </w:rPr>
              <w:t>Representante a la Cámara</w:t>
            </w:r>
          </w:p>
          <w:p w14:paraId="2D15D988" w14:textId="77777777" w:rsidR="00C14292" w:rsidRPr="00D01E92" w:rsidRDefault="00C14292" w:rsidP="00BD0F49">
            <w:pPr>
              <w:jc w:val="both"/>
              <w:rPr>
                <w:rFonts w:ascii="Arial Narrow" w:eastAsia="Century Gothic" w:hAnsi="Arial Narrow" w:cs="Century Gothic"/>
                <w:sz w:val="28"/>
                <w:szCs w:val="28"/>
              </w:rPr>
            </w:pPr>
            <w:r w:rsidRPr="00D01E92">
              <w:rPr>
                <w:rFonts w:ascii="Arial Narrow" w:eastAsia="Century Gothic" w:hAnsi="Arial Narrow" w:cs="Century Gothic"/>
                <w:sz w:val="28"/>
                <w:szCs w:val="28"/>
              </w:rPr>
              <w:t xml:space="preserve">Partido Centro Democrático </w:t>
            </w:r>
          </w:p>
        </w:tc>
        <w:tc>
          <w:tcPr>
            <w:tcW w:w="4224" w:type="dxa"/>
          </w:tcPr>
          <w:p w14:paraId="3A4707C7" w14:textId="77777777" w:rsidR="00C14292" w:rsidRPr="00D01E92" w:rsidRDefault="00C14292" w:rsidP="00BD0F49">
            <w:pPr>
              <w:ind w:left="182" w:hanging="182"/>
              <w:jc w:val="both"/>
              <w:rPr>
                <w:rFonts w:ascii="Arial Narrow" w:eastAsia="Century Gothic" w:hAnsi="Arial Narrow" w:cs="Century Gothic"/>
                <w:b/>
                <w:sz w:val="28"/>
                <w:szCs w:val="28"/>
              </w:rPr>
            </w:pPr>
          </w:p>
          <w:p w14:paraId="5202412C" w14:textId="77777777" w:rsidR="00C14292" w:rsidRPr="00D01E92" w:rsidRDefault="00C14292" w:rsidP="00BD0F49">
            <w:pPr>
              <w:jc w:val="both"/>
              <w:rPr>
                <w:rFonts w:ascii="Arial Narrow" w:eastAsia="Century Gothic" w:hAnsi="Arial Narrow" w:cs="Century Gothic"/>
                <w:b/>
                <w:sz w:val="28"/>
                <w:szCs w:val="28"/>
              </w:rPr>
            </w:pPr>
          </w:p>
          <w:p w14:paraId="6A88FD04" w14:textId="53EFD2C7" w:rsidR="00C14292" w:rsidRPr="00D01E92" w:rsidRDefault="00C14292" w:rsidP="002A456C">
            <w:pPr>
              <w:jc w:val="both"/>
              <w:rPr>
                <w:rFonts w:ascii="Arial Narrow" w:eastAsia="Century Gothic" w:hAnsi="Arial Narrow" w:cs="Century Gothic"/>
                <w:b/>
                <w:sz w:val="28"/>
                <w:szCs w:val="28"/>
              </w:rPr>
            </w:pPr>
          </w:p>
          <w:p w14:paraId="245F7F23" w14:textId="77777777" w:rsidR="00C14292" w:rsidRPr="00D01E92" w:rsidRDefault="00C14292" w:rsidP="00BD0F49">
            <w:pPr>
              <w:jc w:val="both"/>
              <w:rPr>
                <w:rFonts w:ascii="Arial Narrow" w:eastAsia="Century Gothic" w:hAnsi="Arial Narrow" w:cs="Century Gothic"/>
                <w:b/>
                <w:sz w:val="28"/>
                <w:szCs w:val="28"/>
              </w:rPr>
            </w:pPr>
            <w:r w:rsidRPr="00D01E92">
              <w:rPr>
                <w:rFonts w:ascii="Arial Narrow" w:eastAsia="Century Gothic" w:hAnsi="Arial Narrow" w:cs="Century Gothic"/>
                <w:b/>
                <w:sz w:val="28"/>
                <w:szCs w:val="28"/>
              </w:rPr>
              <w:t>ALFREDO RAFAEL DELUQUE Z.</w:t>
            </w:r>
          </w:p>
          <w:p w14:paraId="7E9D1EC7" w14:textId="77777777" w:rsidR="00C14292" w:rsidRPr="00D01E92" w:rsidRDefault="00C14292" w:rsidP="00BD0F49">
            <w:pPr>
              <w:jc w:val="both"/>
              <w:rPr>
                <w:rFonts w:ascii="Arial Narrow" w:eastAsia="Century Gothic" w:hAnsi="Arial Narrow" w:cs="Century Gothic"/>
                <w:sz w:val="28"/>
                <w:szCs w:val="28"/>
              </w:rPr>
            </w:pPr>
            <w:r w:rsidRPr="00D01E92">
              <w:rPr>
                <w:rFonts w:ascii="Arial Narrow" w:eastAsia="Century Gothic" w:hAnsi="Arial Narrow" w:cs="Century Gothic"/>
                <w:sz w:val="28"/>
                <w:szCs w:val="28"/>
              </w:rPr>
              <w:t>Representante a la Cámara</w:t>
            </w:r>
          </w:p>
          <w:p w14:paraId="6CB2B9EB" w14:textId="77777777" w:rsidR="00C14292" w:rsidRPr="00D01E92" w:rsidRDefault="00C14292" w:rsidP="00BD0F49">
            <w:pPr>
              <w:jc w:val="both"/>
              <w:rPr>
                <w:rFonts w:ascii="Arial Narrow" w:eastAsia="Century Gothic" w:hAnsi="Arial Narrow" w:cs="Century Gothic"/>
                <w:b/>
                <w:sz w:val="28"/>
                <w:szCs w:val="28"/>
              </w:rPr>
            </w:pPr>
            <w:r w:rsidRPr="00D01E92">
              <w:rPr>
                <w:rFonts w:ascii="Arial Narrow" w:eastAsia="Century Gothic" w:hAnsi="Arial Narrow" w:cs="Century Gothic"/>
                <w:sz w:val="28"/>
                <w:szCs w:val="28"/>
              </w:rPr>
              <w:t xml:space="preserve">Partido de la U </w:t>
            </w:r>
          </w:p>
          <w:p w14:paraId="1F934F81" w14:textId="77777777" w:rsidR="00C14292" w:rsidRPr="00D01E92" w:rsidRDefault="00C14292" w:rsidP="00BD0F49">
            <w:pPr>
              <w:jc w:val="both"/>
              <w:rPr>
                <w:rFonts w:ascii="Arial Narrow" w:eastAsia="Century Gothic" w:hAnsi="Arial Narrow" w:cs="Century Gothic"/>
                <w:b/>
                <w:sz w:val="28"/>
                <w:szCs w:val="28"/>
              </w:rPr>
            </w:pPr>
          </w:p>
          <w:p w14:paraId="715DC753" w14:textId="77777777" w:rsidR="00C14292" w:rsidRPr="00D01E92" w:rsidRDefault="00C14292" w:rsidP="00BD0F49">
            <w:pPr>
              <w:ind w:left="182" w:hanging="182"/>
              <w:jc w:val="both"/>
              <w:rPr>
                <w:rFonts w:ascii="Arial Narrow" w:eastAsia="Century Gothic" w:hAnsi="Arial Narrow" w:cs="Century Gothic"/>
                <w:b/>
                <w:sz w:val="28"/>
                <w:szCs w:val="28"/>
              </w:rPr>
            </w:pPr>
          </w:p>
        </w:tc>
      </w:tr>
      <w:tr w:rsidR="00C14292" w:rsidRPr="00D01E92" w14:paraId="3EEC5E01" w14:textId="77777777" w:rsidTr="00BD0F49">
        <w:trPr>
          <w:gridAfter w:val="1"/>
          <w:wAfter w:w="200" w:type="dxa"/>
          <w:trHeight w:val="1880"/>
        </w:trPr>
        <w:tc>
          <w:tcPr>
            <w:tcW w:w="4428" w:type="dxa"/>
          </w:tcPr>
          <w:p w14:paraId="70A70DD6" w14:textId="77777777" w:rsidR="00C14292" w:rsidRPr="00D01E92" w:rsidRDefault="00C14292" w:rsidP="00BD0F49">
            <w:pPr>
              <w:jc w:val="both"/>
              <w:rPr>
                <w:rFonts w:ascii="Arial Narrow" w:eastAsia="Century Gothic" w:hAnsi="Arial Narrow" w:cs="Century Gothic"/>
                <w:b/>
                <w:sz w:val="28"/>
                <w:szCs w:val="28"/>
              </w:rPr>
            </w:pPr>
          </w:p>
          <w:p w14:paraId="53CABC7C" w14:textId="77777777" w:rsidR="00C14292" w:rsidRPr="00D01E92" w:rsidRDefault="00C14292" w:rsidP="00BD0F49">
            <w:pPr>
              <w:jc w:val="both"/>
              <w:rPr>
                <w:rFonts w:ascii="Arial Narrow" w:eastAsia="Century Gothic" w:hAnsi="Arial Narrow" w:cs="Century Gothic"/>
                <w:b/>
                <w:sz w:val="28"/>
                <w:szCs w:val="28"/>
              </w:rPr>
            </w:pPr>
          </w:p>
          <w:p w14:paraId="23ADB0B3" w14:textId="77777777" w:rsidR="00C14292" w:rsidRPr="00D01E92" w:rsidRDefault="00C14292" w:rsidP="00BD0F49">
            <w:pPr>
              <w:jc w:val="both"/>
              <w:rPr>
                <w:rFonts w:ascii="Arial Narrow" w:eastAsia="Century Gothic" w:hAnsi="Arial Narrow" w:cs="Century Gothic"/>
                <w:b/>
                <w:sz w:val="28"/>
                <w:szCs w:val="28"/>
              </w:rPr>
            </w:pPr>
          </w:p>
          <w:p w14:paraId="2D6721E2" w14:textId="0376C0E9" w:rsidR="00C14292" w:rsidRPr="00D01E92" w:rsidRDefault="00C14292" w:rsidP="00BD0F49">
            <w:pPr>
              <w:jc w:val="both"/>
              <w:rPr>
                <w:rFonts w:ascii="Arial Narrow" w:eastAsia="Century Gothic" w:hAnsi="Arial Narrow" w:cs="Century Gothic"/>
                <w:b/>
                <w:sz w:val="28"/>
                <w:szCs w:val="28"/>
              </w:rPr>
            </w:pPr>
          </w:p>
          <w:p w14:paraId="688BA368" w14:textId="77777777" w:rsidR="00C14292" w:rsidRPr="00D01E92" w:rsidRDefault="00C14292" w:rsidP="00BD0F49">
            <w:pPr>
              <w:jc w:val="both"/>
              <w:rPr>
                <w:rFonts w:ascii="Arial Narrow" w:eastAsia="Century Gothic" w:hAnsi="Arial Narrow" w:cs="Century Gothic"/>
                <w:b/>
                <w:sz w:val="28"/>
                <w:szCs w:val="28"/>
              </w:rPr>
            </w:pPr>
            <w:r w:rsidRPr="00D01E92">
              <w:rPr>
                <w:rFonts w:ascii="Arial Narrow" w:eastAsia="Century Gothic" w:hAnsi="Arial Narrow" w:cs="Century Gothic"/>
                <w:b/>
                <w:sz w:val="28"/>
                <w:szCs w:val="28"/>
              </w:rPr>
              <w:t xml:space="preserve">JUAN CARLOS WILLS OSPINA </w:t>
            </w:r>
          </w:p>
          <w:p w14:paraId="5008B17C" w14:textId="77777777" w:rsidR="00C14292" w:rsidRPr="00D01E92" w:rsidRDefault="00C14292" w:rsidP="00BD0F49">
            <w:pPr>
              <w:jc w:val="both"/>
              <w:rPr>
                <w:rFonts w:ascii="Arial Narrow" w:eastAsia="Century Gothic" w:hAnsi="Arial Narrow" w:cs="Century Gothic"/>
                <w:sz w:val="28"/>
                <w:szCs w:val="28"/>
              </w:rPr>
            </w:pPr>
            <w:r w:rsidRPr="00D01E92">
              <w:rPr>
                <w:rFonts w:ascii="Arial Narrow" w:eastAsia="Century Gothic" w:hAnsi="Arial Narrow" w:cs="Century Gothic"/>
                <w:sz w:val="28"/>
                <w:szCs w:val="28"/>
              </w:rPr>
              <w:t>Representante a la Cámara</w:t>
            </w:r>
          </w:p>
          <w:p w14:paraId="788DC0AE" w14:textId="77777777" w:rsidR="00C14292" w:rsidRPr="00D01E92" w:rsidRDefault="00C14292" w:rsidP="00BD0F49">
            <w:pPr>
              <w:jc w:val="both"/>
              <w:rPr>
                <w:rFonts w:ascii="Arial Narrow" w:eastAsia="Century Gothic" w:hAnsi="Arial Narrow" w:cs="Century Gothic"/>
                <w:b/>
                <w:sz w:val="28"/>
                <w:szCs w:val="28"/>
              </w:rPr>
            </w:pPr>
            <w:r w:rsidRPr="00D01E92">
              <w:rPr>
                <w:rFonts w:ascii="Arial Narrow" w:eastAsia="Century Gothic" w:hAnsi="Arial Narrow" w:cs="Century Gothic"/>
                <w:sz w:val="28"/>
                <w:szCs w:val="28"/>
              </w:rPr>
              <w:t xml:space="preserve">Partido Conservador </w:t>
            </w:r>
          </w:p>
          <w:p w14:paraId="7125BCDB" w14:textId="77777777" w:rsidR="00C14292" w:rsidRPr="00D01E92" w:rsidRDefault="00C14292" w:rsidP="00BD0F49">
            <w:pPr>
              <w:jc w:val="both"/>
              <w:rPr>
                <w:rFonts w:ascii="Arial Narrow" w:eastAsia="Century Gothic" w:hAnsi="Arial Narrow" w:cs="Century Gothic"/>
                <w:b/>
                <w:sz w:val="28"/>
                <w:szCs w:val="28"/>
              </w:rPr>
            </w:pPr>
          </w:p>
          <w:p w14:paraId="4FCB2242" w14:textId="77777777" w:rsidR="00C14292" w:rsidRPr="00D01E92" w:rsidRDefault="00C14292" w:rsidP="00BD0F49">
            <w:pPr>
              <w:jc w:val="both"/>
              <w:rPr>
                <w:rFonts w:ascii="Arial Narrow" w:eastAsia="Century Gothic" w:hAnsi="Arial Narrow" w:cs="Century Gothic"/>
                <w:sz w:val="28"/>
                <w:szCs w:val="28"/>
              </w:rPr>
            </w:pPr>
          </w:p>
        </w:tc>
        <w:tc>
          <w:tcPr>
            <w:tcW w:w="4224" w:type="dxa"/>
          </w:tcPr>
          <w:p w14:paraId="3EEE0BD4" w14:textId="77777777" w:rsidR="00C14292" w:rsidRPr="00D01E92" w:rsidRDefault="00C14292" w:rsidP="00BD0F49">
            <w:pPr>
              <w:ind w:left="182" w:hanging="182"/>
              <w:jc w:val="both"/>
              <w:rPr>
                <w:rFonts w:ascii="Arial Narrow" w:eastAsia="Century Gothic" w:hAnsi="Arial Narrow" w:cs="Century Gothic"/>
                <w:b/>
                <w:sz w:val="28"/>
                <w:szCs w:val="28"/>
              </w:rPr>
            </w:pPr>
          </w:p>
          <w:p w14:paraId="4D48934A" w14:textId="77777777" w:rsidR="00C14292" w:rsidRPr="00D01E92" w:rsidRDefault="00C14292" w:rsidP="00BD0F49">
            <w:pPr>
              <w:ind w:left="182" w:hanging="182"/>
              <w:jc w:val="both"/>
              <w:rPr>
                <w:rFonts w:ascii="Arial Narrow" w:eastAsia="Century Gothic" w:hAnsi="Arial Narrow" w:cs="Century Gothic"/>
                <w:b/>
                <w:sz w:val="28"/>
                <w:szCs w:val="28"/>
              </w:rPr>
            </w:pPr>
          </w:p>
          <w:p w14:paraId="430CF2D0" w14:textId="255FD510" w:rsidR="00C14292" w:rsidRPr="00D01E92" w:rsidRDefault="00C14292" w:rsidP="002A456C">
            <w:pPr>
              <w:jc w:val="both"/>
              <w:rPr>
                <w:rFonts w:ascii="Arial Narrow" w:eastAsia="Century Gothic" w:hAnsi="Arial Narrow" w:cs="Century Gothic"/>
                <w:b/>
                <w:sz w:val="28"/>
                <w:szCs w:val="28"/>
              </w:rPr>
            </w:pPr>
          </w:p>
          <w:p w14:paraId="62CBF6E4" w14:textId="77777777" w:rsidR="00C14292" w:rsidRPr="00D01E92" w:rsidRDefault="00C14292" w:rsidP="00BD0F49">
            <w:pPr>
              <w:ind w:left="182" w:hanging="182"/>
              <w:jc w:val="both"/>
              <w:rPr>
                <w:rFonts w:ascii="Arial Narrow" w:eastAsia="Century Gothic" w:hAnsi="Arial Narrow" w:cs="Century Gothic"/>
                <w:b/>
                <w:sz w:val="28"/>
                <w:szCs w:val="28"/>
              </w:rPr>
            </w:pPr>
          </w:p>
          <w:p w14:paraId="45CB8728" w14:textId="77777777" w:rsidR="00C14292" w:rsidRPr="00D01E92" w:rsidRDefault="00C14292" w:rsidP="00BD0F49">
            <w:pPr>
              <w:jc w:val="both"/>
              <w:rPr>
                <w:rFonts w:ascii="Arial Narrow" w:eastAsia="Century Gothic" w:hAnsi="Arial Narrow" w:cs="Century Gothic"/>
                <w:b/>
                <w:sz w:val="28"/>
                <w:szCs w:val="28"/>
              </w:rPr>
            </w:pPr>
            <w:r w:rsidRPr="00D01E92">
              <w:rPr>
                <w:rFonts w:ascii="Arial Narrow" w:eastAsia="Century Gothic" w:hAnsi="Arial Narrow" w:cs="Century Gothic"/>
                <w:b/>
                <w:sz w:val="28"/>
                <w:szCs w:val="28"/>
              </w:rPr>
              <w:t xml:space="preserve">JUANITA MARIA GOEBERTUS E.  </w:t>
            </w:r>
          </w:p>
          <w:p w14:paraId="2C0CECD0" w14:textId="77777777" w:rsidR="00C14292" w:rsidRPr="00D01E92" w:rsidRDefault="00C14292" w:rsidP="00BD0F49">
            <w:pPr>
              <w:jc w:val="both"/>
              <w:rPr>
                <w:rFonts w:ascii="Arial Narrow" w:eastAsia="Century Gothic" w:hAnsi="Arial Narrow" w:cs="Century Gothic"/>
                <w:sz w:val="28"/>
                <w:szCs w:val="28"/>
              </w:rPr>
            </w:pPr>
            <w:r w:rsidRPr="00D01E92">
              <w:rPr>
                <w:rFonts w:ascii="Arial Narrow" w:eastAsia="Century Gothic" w:hAnsi="Arial Narrow" w:cs="Century Gothic"/>
                <w:sz w:val="28"/>
                <w:szCs w:val="28"/>
              </w:rPr>
              <w:t>Representante a la Cámara</w:t>
            </w:r>
          </w:p>
          <w:p w14:paraId="06E5B4E4" w14:textId="77777777" w:rsidR="00C14292" w:rsidRPr="00D01E92" w:rsidRDefault="00C14292" w:rsidP="00BD0F49">
            <w:pPr>
              <w:jc w:val="both"/>
              <w:rPr>
                <w:rFonts w:ascii="Arial Narrow" w:eastAsia="Century Gothic" w:hAnsi="Arial Narrow" w:cs="Century Gothic"/>
                <w:b/>
                <w:sz w:val="28"/>
                <w:szCs w:val="28"/>
              </w:rPr>
            </w:pPr>
            <w:r w:rsidRPr="00D01E92">
              <w:rPr>
                <w:rFonts w:ascii="Arial Narrow" w:eastAsia="Century Gothic" w:hAnsi="Arial Narrow" w:cs="Century Gothic"/>
                <w:sz w:val="28"/>
                <w:szCs w:val="28"/>
              </w:rPr>
              <w:t xml:space="preserve">Partido Verde </w:t>
            </w:r>
          </w:p>
          <w:p w14:paraId="355953B0" w14:textId="77777777" w:rsidR="00C14292" w:rsidRPr="00D01E92" w:rsidRDefault="00C14292" w:rsidP="00BD0F49">
            <w:pPr>
              <w:jc w:val="both"/>
              <w:rPr>
                <w:rFonts w:ascii="Arial Narrow" w:eastAsia="Century Gothic" w:hAnsi="Arial Narrow" w:cs="Century Gothic"/>
                <w:b/>
                <w:sz w:val="28"/>
                <w:szCs w:val="28"/>
              </w:rPr>
            </w:pPr>
          </w:p>
        </w:tc>
      </w:tr>
      <w:tr w:rsidR="00C14292" w:rsidRPr="00D01E92" w14:paraId="2E067B58" w14:textId="77777777" w:rsidTr="00BD0F49">
        <w:trPr>
          <w:gridAfter w:val="1"/>
          <w:wAfter w:w="200" w:type="dxa"/>
          <w:trHeight w:val="1880"/>
        </w:trPr>
        <w:tc>
          <w:tcPr>
            <w:tcW w:w="4428" w:type="dxa"/>
          </w:tcPr>
          <w:p w14:paraId="0CDF28C1" w14:textId="77777777" w:rsidR="00C14292" w:rsidRPr="00D01E92" w:rsidRDefault="00C14292" w:rsidP="00BD0F49">
            <w:pPr>
              <w:jc w:val="both"/>
              <w:rPr>
                <w:rFonts w:ascii="Arial Narrow" w:eastAsia="Century Gothic" w:hAnsi="Arial Narrow" w:cs="Century Gothic"/>
                <w:b/>
                <w:sz w:val="28"/>
                <w:szCs w:val="28"/>
              </w:rPr>
            </w:pPr>
          </w:p>
          <w:p w14:paraId="49604182" w14:textId="10B5E892" w:rsidR="00C14292" w:rsidRPr="00D01E92" w:rsidRDefault="00C14292" w:rsidP="00BD0F49">
            <w:pPr>
              <w:jc w:val="both"/>
              <w:rPr>
                <w:rFonts w:ascii="Arial Narrow" w:eastAsia="Century Gothic" w:hAnsi="Arial Narrow" w:cs="Century Gothic"/>
                <w:b/>
                <w:sz w:val="28"/>
                <w:szCs w:val="28"/>
              </w:rPr>
            </w:pPr>
          </w:p>
          <w:p w14:paraId="0CBE05B3" w14:textId="77777777" w:rsidR="00C14292" w:rsidRPr="00D01E92" w:rsidRDefault="00C14292" w:rsidP="00BD0F49">
            <w:pPr>
              <w:jc w:val="both"/>
              <w:rPr>
                <w:rFonts w:ascii="Arial Narrow" w:eastAsia="Century Gothic" w:hAnsi="Arial Narrow" w:cs="Century Gothic"/>
                <w:b/>
                <w:sz w:val="28"/>
                <w:szCs w:val="28"/>
              </w:rPr>
            </w:pPr>
            <w:r w:rsidRPr="00D01E92">
              <w:rPr>
                <w:rFonts w:ascii="Arial Narrow" w:eastAsia="Century Gothic" w:hAnsi="Arial Narrow" w:cs="Century Gothic"/>
                <w:b/>
                <w:sz w:val="28"/>
                <w:szCs w:val="28"/>
              </w:rPr>
              <w:t>LUIS ALBERTO ALBAN URBANO</w:t>
            </w:r>
          </w:p>
          <w:p w14:paraId="70ED65F6" w14:textId="77777777" w:rsidR="00C14292" w:rsidRPr="00D01E92" w:rsidRDefault="00C14292" w:rsidP="00BD0F49">
            <w:pPr>
              <w:jc w:val="both"/>
              <w:rPr>
                <w:rFonts w:ascii="Arial Narrow" w:eastAsia="Century Gothic" w:hAnsi="Arial Narrow" w:cs="Century Gothic"/>
                <w:sz w:val="28"/>
                <w:szCs w:val="28"/>
              </w:rPr>
            </w:pPr>
            <w:r w:rsidRPr="00D01E92">
              <w:rPr>
                <w:rFonts w:ascii="Arial Narrow" w:eastAsia="Century Gothic" w:hAnsi="Arial Narrow" w:cs="Century Gothic"/>
                <w:sz w:val="28"/>
                <w:szCs w:val="28"/>
              </w:rPr>
              <w:t>Representante a la Cámara</w:t>
            </w:r>
          </w:p>
          <w:p w14:paraId="5E6D8893" w14:textId="77777777" w:rsidR="00C14292" w:rsidRPr="00D01E92" w:rsidRDefault="00C14292" w:rsidP="00BD0F49">
            <w:pPr>
              <w:jc w:val="both"/>
              <w:rPr>
                <w:rFonts w:ascii="Arial Narrow" w:eastAsia="Century Gothic" w:hAnsi="Arial Narrow" w:cs="Century Gothic"/>
                <w:b/>
                <w:sz w:val="28"/>
                <w:szCs w:val="28"/>
              </w:rPr>
            </w:pPr>
            <w:r w:rsidRPr="00D01E92">
              <w:rPr>
                <w:rFonts w:ascii="Arial Narrow" w:eastAsia="Century Gothic" w:hAnsi="Arial Narrow" w:cs="Century Gothic"/>
                <w:sz w:val="28"/>
                <w:szCs w:val="28"/>
              </w:rPr>
              <w:t xml:space="preserve">Partido F.A.R.C  </w:t>
            </w:r>
          </w:p>
        </w:tc>
        <w:tc>
          <w:tcPr>
            <w:tcW w:w="4224" w:type="dxa"/>
          </w:tcPr>
          <w:p w14:paraId="2B1D5322" w14:textId="77777777" w:rsidR="00C14292" w:rsidRPr="00D01E92" w:rsidRDefault="00C14292" w:rsidP="00BD0F49">
            <w:pPr>
              <w:ind w:left="182" w:hanging="182"/>
              <w:jc w:val="both"/>
              <w:rPr>
                <w:rFonts w:ascii="Arial Narrow" w:eastAsia="Century Gothic" w:hAnsi="Arial Narrow" w:cs="Century Gothic"/>
                <w:b/>
                <w:sz w:val="28"/>
                <w:szCs w:val="28"/>
              </w:rPr>
            </w:pPr>
          </w:p>
          <w:p w14:paraId="1F0B1020" w14:textId="77777777" w:rsidR="00C14292" w:rsidRPr="00D01E92" w:rsidRDefault="00C14292" w:rsidP="00BD0F49">
            <w:pPr>
              <w:ind w:left="182" w:hanging="182"/>
              <w:jc w:val="both"/>
              <w:rPr>
                <w:rFonts w:ascii="Arial Narrow" w:eastAsia="Century Gothic" w:hAnsi="Arial Narrow" w:cs="Century Gothic"/>
                <w:b/>
                <w:sz w:val="28"/>
                <w:szCs w:val="28"/>
              </w:rPr>
            </w:pPr>
          </w:p>
          <w:p w14:paraId="06766E20" w14:textId="77777777" w:rsidR="00C14292" w:rsidRPr="00D01E92" w:rsidRDefault="00C14292" w:rsidP="00BD0F49">
            <w:pPr>
              <w:ind w:left="182" w:hanging="182"/>
              <w:jc w:val="both"/>
              <w:rPr>
                <w:rFonts w:ascii="Arial Narrow" w:eastAsia="Century Gothic" w:hAnsi="Arial Narrow" w:cs="Century Gothic"/>
                <w:b/>
                <w:sz w:val="28"/>
                <w:szCs w:val="28"/>
              </w:rPr>
            </w:pPr>
          </w:p>
          <w:p w14:paraId="086B7494" w14:textId="77777777" w:rsidR="00C14292" w:rsidRPr="00D01E92" w:rsidRDefault="00C14292" w:rsidP="00BD0F49">
            <w:pPr>
              <w:ind w:left="182" w:hanging="182"/>
              <w:jc w:val="both"/>
              <w:rPr>
                <w:rFonts w:ascii="Arial Narrow" w:eastAsia="Century Gothic" w:hAnsi="Arial Narrow" w:cs="Century Gothic"/>
                <w:b/>
                <w:sz w:val="28"/>
                <w:szCs w:val="28"/>
              </w:rPr>
            </w:pPr>
          </w:p>
          <w:p w14:paraId="1D641906" w14:textId="77777777" w:rsidR="00C14292" w:rsidRPr="00D01E92" w:rsidRDefault="00C14292" w:rsidP="00BD0F49">
            <w:pPr>
              <w:ind w:left="182" w:hanging="182"/>
              <w:jc w:val="both"/>
              <w:rPr>
                <w:rFonts w:ascii="Arial Narrow" w:eastAsia="Century Gothic" w:hAnsi="Arial Narrow" w:cs="Century Gothic"/>
                <w:b/>
                <w:sz w:val="28"/>
                <w:szCs w:val="28"/>
              </w:rPr>
            </w:pPr>
          </w:p>
          <w:p w14:paraId="2420CB0E" w14:textId="77777777" w:rsidR="00C14292" w:rsidRPr="00D01E92" w:rsidRDefault="00C14292" w:rsidP="00BD0F49">
            <w:pPr>
              <w:ind w:left="182" w:hanging="182"/>
              <w:jc w:val="both"/>
              <w:rPr>
                <w:rFonts w:ascii="Arial Narrow" w:eastAsia="Century Gothic" w:hAnsi="Arial Narrow" w:cs="Century Gothic"/>
                <w:b/>
                <w:sz w:val="28"/>
                <w:szCs w:val="28"/>
              </w:rPr>
            </w:pPr>
          </w:p>
          <w:p w14:paraId="191AA3B1" w14:textId="77777777" w:rsidR="00C14292" w:rsidRPr="00D01E92" w:rsidRDefault="00C14292" w:rsidP="00BD0F49">
            <w:pPr>
              <w:jc w:val="both"/>
              <w:rPr>
                <w:rFonts w:ascii="Arial Narrow" w:eastAsia="Century Gothic" w:hAnsi="Arial Narrow" w:cs="Century Gothic"/>
                <w:b/>
                <w:sz w:val="28"/>
                <w:szCs w:val="28"/>
              </w:rPr>
            </w:pPr>
          </w:p>
        </w:tc>
      </w:tr>
    </w:tbl>
    <w:p w14:paraId="49B6A1BB" w14:textId="6A79361A" w:rsidR="00C14292" w:rsidRDefault="00C14292" w:rsidP="00C14292">
      <w:pPr>
        <w:pBdr>
          <w:top w:val="nil"/>
          <w:left w:val="nil"/>
          <w:bottom w:val="nil"/>
          <w:right w:val="nil"/>
          <w:between w:val="nil"/>
        </w:pBdr>
        <w:jc w:val="center"/>
        <w:rPr>
          <w:rFonts w:ascii="Arial Narrow" w:eastAsia="Century Gothic" w:hAnsi="Arial Narrow" w:cs="Century Gothic"/>
          <w:b/>
          <w:color w:val="000000"/>
          <w:sz w:val="28"/>
          <w:szCs w:val="28"/>
        </w:rPr>
      </w:pPr>
    </w:p>
    <w:p w14:paraId="471D62D5" w14:textId="28AF70EC" w:rsidR="002A456C" w:rsidRDefault="002A456C" w:rsidP="00C14292">
      <w:pPr>
        <w:pBdr>
          <w:top w:val="nil"/>
          <w:left w:val="nil"/>
          <w:bottom w:val="nil"/>
          <w:right w:val="nil"/>
          <w:between w:val="nil"/>
        </w:pBdr>
        <w:jc w:val="center"/>
        <w:rPr>
          <w:rFonts w:ascii="Arial Narrow" w:eastAsia="Century Gothic" w:hAnsi="Arial Narrow" w:cs="Century Gothic"/>
          <w:b/>
          <w:color w:val="000000"/>
          <w:sz w:val="28"/>
          <w:szCs w:val="28"/>
        </w:rPr>
      </w:pPr>
    </w:p>
    <w:p w14:paraId="6D8BE972" w14:textId="77D41A2A" w:rsidR="002A456C" w:rsidRDefault="002A456C" w:rsidP="00C14292">
      <w:pPr>
        <w:pBdr>
          <w:top w:val="nil"/>
          <w:left w:val="nil"/>
          <w:bottom w:val="nil"/>
          <w:right w:val="nil"/>
          <w:between w:val="nil"/>
        </w:pBdr>
        <w:jc w:val="center"/>
        <w:rPr>
          <w:rFonts w:ascii="Arial Narrow" w:eastAsia="Century Gothic" w:hAnsi="Arial Narrow" w:cs="Century Gothic"/>
          <w:b/>
          <w:color w:val="000000"/>
          <w:sz w:val="28"/>
          <w:szCs w:val="28"/>
        </w:rPr>
      </w:pPr>
    </w:p>
    <w:p w14:paraId="1EFCA6D6" w14:textId="6A11FC2F" w:rsidR="002A456C" w:rsidRDefault="002A456C" w:rsidP="00C14292">
      <w:pPr>
        <w:pBdr>
          <w:top w:val="nil"/>
          <w:left w:val="nil"/>
          <w:bottom w:val="nil"/>
          <w:right w:val="nil"/>
          <w:between w:val="nil"/>
        </w:pBdr>
        <w:jc w:val="center"/>
        <w:rPr>
          <w:rFonts w:ascii="Arial Narrow" w:eastAsia="Century Gothic" w:hAnsi="Arial Narrow" w:cs="Century Gothic"/>
          <w:b/>
          <w:color w:val="000000"/>
          <w:sz w:val="28"/>
          <w:szCs w:val="28"/>
        </w:rPr>
      </w:pPr>
    </w:p>
    <w:p w14:paraId="347452E6" w14:textId="3E4763D8" w:rsidR="002A456C" w:rsidRPr="00D01E92" w:rsidRDefault="002A456C" w:rsidP="00C14292">
      <w:pPr>
        <w:pBdr>
          <w:top w:val="nil"/>
          <w:left w:val="nil"/>
          <w:bottom w:val="nil"/>
          <w:right w:val="nil"/>
          <w:between w:val="nil"/>
        </w:pBdr>
        <w:jc w:val="center"/>
        <w:rPr>
          <w:rFonts w:ascii="Arial Narrow" w:eastAsia="Century Gothic" w:hAnsi="Arial Narrow" w:cs="Century Gothic"/>
          <w:b/>
          <w:color w:val="000000"/>
          <w:sz w:val="28"/>
          <w:szCs w:val="28"/>
        </w:rPr>
      </w:pPr>
      <w:bookmarkStart w:id="0" w:name="_GoBack"/>
      <w:bookmarkEnd w:id="0"/>
    </w:p>
    <w:p w14:paraId="7E6756B3" w14:textId="77777777" w:rsidR="00C14292" w:rsidRPr="00D01E92" w:rsidRDefault="00C14292" w:rsidP="00C14292">
      <w:pPr>
        <w:pBdr>
          <w:top w:val="nil"/>
          <w:left w:val="nil"/>
          <w:bottom w:val="nil"/>
          <w:right w:val="nil"/>
          <w:between w:val="nil"/>
        </w:pBdr>
        <w:jc w:val="center"/>
        <w:rPr>
          <w:rFonts w:ascii="Arial Narrow" w:eastAsia="Century Gothic" w:hAnsi="Arial Narrow" w:cs="Century Gothic"/>
          <w:color w:val="000000"/>
          <w:sz w:val="28"/>
          <w:szCs w:val="28"/>
        </w:rPr>
      </w:pPr>
      <w:r w:rsidRPr="00D01E92">
        <w:rPr>
          <w:rFonts w:ascii="Arial Narrow" w:eastAsia="Century Gothic" w:hAnsi="Arial Narrow" w:cs="Century Gothic"/>
          <w:b/>
          <w:color w:val="000000"/>
          <w:sz w:val="28"/>
          <w:szCs w:val="28"/>
        </w:rPr>
        <w:lastRenderedPageBreak/>
        <w:t>TEXTO PROPUESTO PARA PRIMER DEBATE PROYECTO DE LEY NÚMERO 252 DE 2019 CÁMARA</w:t>
      </w:r>
    </w:p>
    <w:p w14:paraId="5D761413" w14:textId="77777777" w:rsidR="00C14292" w:rsidRPr="00D01E92" w:rsidRDefault="00C14292" w:rsidP="00C14292">
      <w:pPr>
        <w:jc w:val="center"/>
        <w:rPr>
          <w:rFonts w:ascii="Arial Narrow" w:eastAsia="Century Gothic" w:hAnsi="Arial Narrow" w:cs="Century Gothic"/>
          <w:bCs/>
          <w:i/>
          <w:iCs/>
          <w:color w:val="000000"/>
          <w:sz w:val="28"/>
          <w:szCs w:val="28"/>
        </w:rPr>
      </w:pPr>
    </w:p>
    <w:p w14:paraId="15ED1145" w14:textId="77777777" w:rsidR="00C14292" w:rsidRPr="00D01E92" w:rsidRDefault="00C14292" w:rsidP="00C14292">
      <w:pPr>
        <w:jc w:val="center"/>
        <w:rPr>
          <w:rFonts w:ascii="Arial Narrow" w:eastAsia="Century Gothic" w:hAnsi="Arial Narrow" w:cs="Century Gothic"/>
          <w:i/>
          <w:color w:val="000000"/>
          <w:sz w:val="28"/>
          <w:szCs w:val="28"/>
        </w:rPr>
      </w:pPr>
      <w:r w:rsidRPr="00D01E92">
        <w:rPr>
          <w:rFonts w:ascii="Arial Narrow" w:eastAsia="Century Gothic" w:hAnsi="Arial Narrow" w:cs="Century Gothic"/>
          <w:bCs/>
          <w:i/>
          <w:iCs/>
          <w:color w:val="000000"/>
          <w:sz w:val="28"/>
          <w:szCs w:val="28"/>
        </w:rPr>
        <w:t>“Por medio del cual se modifica el artículo 380 del Código Penal (Ley 599 de 2000)”</w:t>
      </w:r>
    </w:p>
    <w:p w14:paraId="42BC3AEA" w14:textId="77777777" w:rsidR="00C14292" w:rsidRPr="00D01E92" w:rsidRDefault="00C14292" w:rsidP="00C14292">
      <w:pPr>
        <w:pBdr>
          <w:top w:val="nil"/>
          <w:left w:val="nil"/>
          <w:bottom w:val="nil"/>
          <w:right w:val="nil"/>
          <w:between w:val="nil"/>
        </w:pBdr>
        <w:jc w:val="center"/>
        <w:rPr>
          <w:rFonts w:ascii="Arial Narrow" w:eastAsia="Century Gothic" w:hAnsi="Arial Narrow" w:cs="Century Gothic"/>
          <w:b/>
          <w:color w:val="000000"/>
          <w:sz w:val="28"/>
          <w:szCs w:val="28"/>
        </w:rPr>
      </w:pPr>
    </w:p>
    <w:p w14:paraId="4A2CFB59" w14:textId="77777777" w:rsidR="00C14292" w:rsidRPr="00D01E92" w:rsidRDefault="00C14292" w:rsidP="00C14292">
      <w:pPr>
        <w:pBdr>
          <w:top w:val="nil"/>
          <w:left w:val="nil"/>
          <w:bottom w:val="nil"/>
          <w:right w:val="nil"/>
          <w:between w:val="nil"/>
        </w:pBdr>
        <w:jc w:val="center"/>
        <w:rPr>
          <w:rFonts w:ascii="Arial Narrow" w:eastAsia="Century Gothic" w:hAnsi="Arial Narrow" w:cs="Century Gothic"/>
          <w:b/>
          <w:color w:val="000000"/>
          <w:sz w:val="28"/>
          <w:szCs w:val="28"/>
        </w:rPr>
      </w:pPr>
      <w:r w:rsidRPr="00D01E92">
        <w:rPr>
          <w:rFonts w:ascii="Arial Narrow" w:eastAsia="Century Gothic" w:hAnsi="Arial Narrow" w:cs="Century Gothic"/>
          <w:b/>
          <w:color w:val="000000"/>
          <w:sz w:val="28"/>
          <w:szCs w:val="28"/>
        </w:rPr>
        <w:t>El Congreso de Colombia</w:t>
      </w:r>
    </w:p>
    <w:p w14:paraId="3AB36517" w14:textId="77777777" w:rsidR="00C14292" w:rsidRPr="00D01E92" w:rsidRDefault="00C14292" w:rsidP="00C14292">
      <w:pPr>
        <w:pBdr>
          <w:top w:val="nil"/>
          <w:left w:val="nil"/>
          <w:bottom w:val="nil"/>
          <w:right w:val="nil"/>
          <w:between w:val="nil"/>
        </w:pBdr>
        <w:jc w:val="center"/>
        <w:rPr>
          <w:rFonts w:ascii="Arial Narrow" w:eastAsia="Century Gothic" w:hAnsi="Arial Narrow" w:cs="Century Gothic"/>
          <w:b/>
          <w:color w:val="000000"/>
          <w:sz w:val="28"/>
          <w:szCs w:val="28"/>
        </w:rPr>
      </w:pPr>
      <w:r w:rsidRPr="00D01E92">
        <w:rPr>
          <w:rFonts w:ascii="Arial Narrow" w:eastAsia="Century Gothic" w:hAnsi="Arial Narrow" w:cs="Century Gothic"/>
          <w:b/>
          <w:color w:val="000000"/>
          <w:sz w:val="28"/>
          <w:szCs w:val="28"/>
        </w:rPr>
        <w:t xml:space="preserve">Decreta: </w:t>
      </w:r>
    </w:p>
    <w:p w14:paraId="0F3A0271" w14:textId="77777777" w:rsidR="00C14292" w:rsidRPr="00D01E92" w:rsidRDefault="00C14292" w:rsidP="00C14292">
      <w:pPr>
        <w:pBdr>
          <w:top w:val="nil"/>
          <w:left w:val="nil"/>
          <w:bottom w:val="nil"/>
          <w:right w:val="nil"/>
          <w:between w:val="nil"/>
        </w:pBdr>
        <w:jc w:val="center"/>
        <w:rPr>
          <w:rFonts w:ascii="Arial Narrow" w:eastAsia="Century Gothic" w:hAnsi="Arial Narrow" w:cs="Century Gothic"/>
          <w:b/>
          <w:color w:val="000000"/>
          <w:sz w:val="28"/>
          <w:szCs w:val="28"/>
        </w:rPr>
      </w:pPr>
    </w:p>
    <w:p w14:paraId="3F7C6FC9" w14:textId="77777777" w:rsidR="00C14292" w:rsidRPr="00D01E92" w:rsidRDefault="00C14292" w:rsidP="00C14292">
      <w:pPr>
        <w:pBdr>
          <w:top w:val="nil"/>
          <w:left w:val="nil"/>
          <w:bottom w:val="nil"/>
          <w:right w:val="nil"/>
          <w:between w:val="nil"/>
        </w:pBdr>
        <w:jc w:val="both"/>
        <w:rPr>
          <w:rFonts w:ascii="Arial Narrow" w:eastAsia="Century Gothic" w:hAnsi="Arial Narrow" w:cs="Century Gothic"/>
          <w:color w:val="000000"/>
          <w:sz w:val="28"/>
          <w:szCs w:val="28"/>
        </w:rPr>
      </w:pPr>
      <w:r w:rsidRPr="00D01E92">
        <w:rPr>
          <w:rFonts w:ascii="Arial Narrow" w:eastAsia="Century Gothic" w:hAnsi="Arial Narrow" w:cs="Century Gothic"/>
          <w:b/>
          <w:color w:val="000000"/>
          <w:sz w:val="28"/>
          <w:szCs w:val="28"/>
        </w:rPr>
        <w:t>Art</w:t>
      </w:r>
      <w:r w:rsidRPr="00D01E92">
        <w:rPr>
          <w:rFonts w:ascii="Arial Narrow" w:eastAsia="Century Gothic" w:hAnsi="Arial Narrow" w:cs="Century Gothic"/>
          <w:b/>
          <w:sz w:val="28"/>
          <w:szCs w:val="28"/>
        </w:rPr>
        <w:t>í</w:t>
      </w:r>
      <w:r w:rsidRPr="00D01E92">
        <w:rPr>
          <w:rFonts w:ascii="Arial Narrow" w:eastAsia="Century Gothic" w:hAnsi="Arial Narrow" w:cs="Century Gothic"/>
          <w:b/>
          <w:color w:val="000000"/>
          <w:sz w:val="28"/>
          <w:szCs w:val="28"/>
        </w:rPr>
        <w:t xml:space="preserve">culo 1°. </w:t>
      </w:r>
      <w:r w:rsidRPr="00D01E92">
        <w:rPr>
          <w:rFonts w:ascii="Arial Narrow" w:eastAsia="Century Gothic" w:hAnsi="Arial Narrow" w:cs="Century Gothic"/>
          <w:color w:val="000000"/>
          <w:sz w:val="28"/>
          <w:szCs w:val="28"/>
        </w:rPr>
        <w:t xml:space="preserve">El artículo 380 del Código Penal (Ley 599 de 2000) quedara así: “Suministro o formulación ilegal a deportistas. El que, en incumplimiento de la normatividad antidopaje </w:t>
      </w:r>
      <w:r w:rsidRPr="00D01E92">
        <w:rPr>
          <w:rFonts w:ascii="Arial Narrow" w:eastAsia="Century Gothic" w:hAnsi="Arial Narrow" w:cs="Century Gothic"/>
          <w:b/>
          <w:bCs/>
          <w:color w:val="000000"/>
          <w:sz w:val="28"/>
          <w:szCs w:val="28"/>
          <w:u w:val="single"/>
        </w:rPr>
        <w:t>expedida por la autoridad competente</w:t>
      </w:r>
      <w:r w:rsidRPr="00D01E92">
        <w:rPr>
          <w:rFonts w:ascii="Arial Narrow" w:eastAsia="Century Gothic" w:hAnsi="Arial Narrow" w:cs="Century Gothic"/>
          <w:color w:val="000000"/>
          <w:sz w:val="28"/>
          <w:szCs w:val="28"/>
        </w:rPr>
        <w:t xml:space="preserve">, formule, suministre, aplique o administre a un deportista profesional o aficionado alguna sustancia o método prohibido en el deporte, o lo induzca al consumo, incurrirá en prisión de veinticuatro (24) a setenta y dos (72) meses y multa de sesenta y seis (66) a setecientos cincuenta (750) salarios mínimos legales mensuales vigentes. </w:t>
      </w:r>
    </w:p>
    <w:p w14:paraId="23D9377B" w14:textId="77777777" w:rsidR="00C14292" w:rsidRPr="00D01E92" w:rsidRDefault="00C14292" w:rsidP="00C14292">
      <w:pPr>
        <w:pBdr>
          <w:top w:val="nil"/>
          <w:left w:val="nil"/>
          <w:bottom w:val="nil"/>
          <w:right w:val="nil"/>
          <w:between w:val="nil"/>
        </w:pBdr>
        <w:rPr>
          <w:rFonts w:ascii="Arial Narrow" w:eastAsia="Century Gothic" w:hAnsi="Arial Narrow" w:cs="Century Gothic"/>
          <w:color w:val="000000"/>
          <w:sz w:val="28"/>
          <w:szCs w:val="28"/>
        </w:rPr>
      </w:pPr>
      <w:r w:rsidRPr="00D01E92">
        <w:rPr>
          <w:rFonts w:ascii="Arial Narrow" w:eastAsia="Century Gothic" w:hAnsi="Arial Narrow" w:cs="Century Gothic"/>
          <w:color w:val="000000"/>
          <w:sz w:val="28"/>
          <w:szCs w:val="28"/>
        </w:rPr>
        <w:t xml:space="preserve">La pena se aumentará hasta en la mitad, cuando: </w:t>
      </w:r>
    </w:p>
    <w:p w14:paraId="5F322BC5" w14:textId="77777777" w:rsidR="00C14292" w:rsidRPr="00D01E92" w:rsidRDefault="00C14292" w:rsidP="00C14292">
      <w:pPr>
        <w:pStyle w:val="Prrafodelista"/>
        <w:numPr>
          <w:ilvl w:val="0"/>
          <w:numId w:val="23"/>
        </w:numPr>
        <w:pBdr>
          <w:top w:val="nil"/>
          <w:left w:val="nil"/>
          <w:bottom w:val="nil"/>
          <w:right w:val="nil"/>
          <w:between w:val="nil"/>
        </w:pBdr>
        <w:spacing w:line="240" w:lineRule="auto"/>
        <w:rPr>
          <w:rFonts w:ascii="Arial Narrow" w:eastAsia="Century Gothic" w:hAnsi="Arial Narrow" w:cs="Century Gothic"/>
          <w:b/>
          <w:color w:val="000000"/>
          <w:sz w:val="28"/>
          <w:szCs w:val="28"/>
        </w:rPr>
      </w:pPr>
      <w:r w:rsidRPr="00D01E92">
        <w:rPr>
          <w:rFonts w:ascii="Arial Narrow" w:eastAsia="Century Gothic" w:hAnsi="Arial Narrow" w:cs="Century Gothic"/>
          <w:bCs/>
          <w:color w:val="000000"/>
          <w:sz w:val="28"/>
          <w:szCs w:val="28"/>
        </w:rPr>
        <w:t xml:space="preserve">La conducta recaiga sobre un menor de edad </w:t>
      </w:r>
    </w:p>
    <w:p w14:paraId="22C6065A" w14:textId="77777777" w:rsidR="00C14292" w:rsidRPr="00D01E92" w:rsidRDefault="00C14292" w:rsidP="00C14292">
      <w:pPr>
        <w:pStyle w:val="Prrafodelista"/>
        <w:numPr>
          <w:ilvl w:val="0"/>
          <w:numId w:val="23"/>
        </w:numPr>
        <w:pBdr>
          <w:top w:val="nil"/>
          <w:left w:val="nil"/>
          <w:bottom w:val="nil"/>
          <w:right w:val="nil"/>
          <w:between w:val="nil"/>
        </w:pBdr>
        <w:spacing w:line="240" w:lineRule="auto"/>
        <w:rPr>
          <w:rFonts w:ascii="Arial Narrow" w:eastAsia="Century Gothic" w:hAnsi="Arial Narrow" w:cs="Century Gothic"/>
          <w:b/>
          <w:color w:val="000000"/>
          <w:sz w:val="28"/>
          <w:szCs w:val="28"/>
        </w:rPr>
      </w:pPr>
      <w:r w:rsidRPr="00D01E92">
        <w:rPr>
          <w:rFonts w:ascii="Arial Narrow" w:eastAsia="Century Gothic" w:hAnsi="Arial Narrow" w:cs="Century Gothic"/>
          <w:bCs/>
          <w:color w:val="000000"/>
          <w:sz w:val="28"/>
          <w:szCs w:val="28"/>
        </w:rPr>
        <w:t xml:space="preserve">La conducta se realice mediante engaño o coacción </w:t>
      </w:r>
    </w:p>
    <w:p w14:paraId="21EE5FBF" w14:textId="77777777" w:rsidR="00C14292" w:rsidRPr="00D01E92" w:rsidRDefault="00C14292" w:rsidP="00C14292">
      <w:pPr>
        <w:pStyle w:val="Prrafodelista"/>
        <w:numPr>
          <w:ilvl w:val="0"/>
          <w:numId w:val="23"/>
        </w:numPr>
        <w:pBdr>
          <w:top w:val="nil"/>
          <w:left w:val="nil"/>
          <w:bottom w:val="nil"/>
          <w:right w:val="nil"/>
          <w:between w:val="nil"/>
        </w:pBdr>
        <w:spacing w:line="240" w:lineRule="auto"/>
        <w:rPr>
          <w:rFonts w:ascii="Arial Narrow" w:eastAsia="Century Gothic" w:hAnsi="Arial Narrow" w:cs="Century Gothic"/>
          <w:b/>
          <w:color w:val="000000"/>
          <w:sz w:val="28"/>
          <w:szCs w:val="28"/>
        </w:rPr>
      </w:pPr>
      <w:r w:rsidRPr="00D01E92">
        <w:rPr>
          <w:rFonts w:ascii="Arial Narrow" w:eastAsia="Century Gothic" w:hAnsi="Arial Narrow" w:cs="Century Gothic"/>
          <w:bCs/>
          <w:color w:val="000000"/>
          <w:sz w:val="28"/>
          <w:szCs w:val="28"/>
        </w:rPr>
        <w:t xml:space="preserve">El responsable tuviere cualquier carácter, posición o cargo que le dé particular autoridad o poder sobre la víctima. </w:t>
      </w:r>
    </w:p>
    <w:p w14:paraId="50DBECF1" w14:textId="77777777" w:rsidR="00C14292" w:rsidRPr="00D01E92" w:rsidRDefault="00C14292" w:rsidP="00C14292">
      <w:pPr>
        <w:pBdr>
          <w:top w:val="nil"/>
          <w:left w:val="nil"/>
          <w:bottom w:val="nil"/>
          <w:right w:val="nil"/>
          <w:between w:val="nil"/>
        </w:pBdr>
        <w:jc w:val="both"/>
        <w:rPr>
          <w:rFonts w:ascii="Arial Narrow" w:eastAsia="Century Gothic" w:hAnsi="Arial Narrow" w:cs="Century Gothic"/>
          <w:bCs/>
          <w:color w:val="000000"/>
          <w:sz w:val="28"/>
          <w:szCs w:val="28"/>
        </w:rPr>
      </w:pPr>
      <w:r w:rsidRPr="00D01E92">
        <w:rPr>
          <w:rFonts w:ascii="Arial Narrow" w:eastAsia="Century Gothic" w:hAnsi="Arial Narrow" w:cs="Century Gothic"/>
          <w:bCs/>
          <w:color w:val="000000"/>
          <w:sz w:val="28"/>
          <w:szCs w:val="28"/>
        </w:rPr>
        <w:t xml:space="preserve">A las sanciones previstas en el artículo 379 quedará sujeto el profesional o practicante de medicina, odontología, enfermería, farmacia o personal de apoyo del atleta que, en ejercicio de ellas, realizare las conductas previstas en este artículo. </w:t>
      </w:r>
    </w:p>
    <w:p w14:paraId="201DA920" w14:textId="77777777" w:rsidR="00C14292" w:rsidRPr="00D01E92" w:rsidRDefault="00C14292" w:rsidP="00C14292">
      <w:pPr>
        <w:pBdr>
          <w:top w:val="nil"/>
          <w:left w:val="nil"/>
          <w:bottom w:val="nil"/>
          <w:right w:val="nil"/>
          <w:between w:val="nil"/>
        </w:pBdr>
        <w:jc w:val="both"/>
        <w:rPr>
          <w:rFonts w:ascii="Arial Narrow" w:eastAsia="Century Gothic" w:hAnsi="Arial Narrow" w:cs="Century Gothic"/>
          <w:bCs/>
          <w:color w:val="000000"/>
          <w:sz w:val="28"/>
          <w:szCs w:val="28"/>
        </w:rPr>
      </w:pPr>
      <w:r w:rsidRPr="00D01E92">
        <w:rPr>
          <w:rFonts w:ascii="Arial Narrow" w:eastAsia="Century Gothic" w:hAnsi="Arial Narrow" w:cs="Century Gothic"/>
          <w:b/>
          <w:color w:val="000000"/>
          <w:sz w:val="28"/>
          <w:szCs w:val="28"/>
        </w:rPr>
        <w:t>Artículo 2. Vigencia</w:t>
      </w:r>
      <w:r w:rsidRPr="00D01E92">
        <w:rPr>
          <w:rFonts w:ascii="Arial Narrow" w:eastAsia="Century Gothic" w:hAnsi="Arial Narrow" w:cs="Century Gothic"/>
          <w:bCs/>
          <w:color w:val="000000"/>
          <w:sz w:val="28"/>
          <w:szCs w:val="28"/>
        </w:rPr>
        <w:t>. La presente Ley entrará en vigencia a partir de su promulgación.</w:t>
      </w:r>
    </w:p>
    <w:p w14:paraId="4344E43E" w14:textId="77777777" w:rsidR="00C14292" w:rsidRPr="00945168" w:rsidRDefault="00C14292" w:rsidP="00F22222">
      <w:pPr>
        <w:autoSpaceDE w:val="0"/>
        <w:autoSpaceDN w:val="0"/>
        <w:adjustRightInd w:val="0"/>
        <w:spacing w:after="0" w:line="360" w:lineRule="auto"/>
        <w:jc w:val="both"/>
        <w:rPr>
          <w:rFonts w:ascii="Arial Narrow" w:hAnsi="Arial Narrow" w:cs="Book Antiqua"/>
          <w:bCs/>
          <w:color w:val="000000"/>
          <w:sz w:val="26"/>
          <w:szCs w:val="26"/>
          <w:lang w:val="es-CO"/>
        </w:rPr>
      </w:pPr>
    </w:p>
    <w:p w14:paraId="41DB4CB4" w14:textId="77777777" w:rsidR="00945168" w:rsidRPr="00945168" w:rsidRDefault="00945168" w:rsidP="00945168">
      <w:pPr>
        <w:autoSpaceDE w:val="0"/>
        <w:autoSpaceDN w:val="0"/>
        <w:adjustRightInd w:val="0"/>
        <w:spacing w:after="0" w:line="360" w:lineRule="auto"/>
        <w:rPr>
          <w:rFonts w:ascii="Arial Narrow" w:hAnsi="Arial Narrow" w:cs="Book Antiqua"/>
          <w:color w:val="000000"/>
          <w:sz w:val="26"/>
          <w:szCs w:val="26"/>
          <w:lang w:val="es-CO"/>
        </w:rPr>
      </w:pPr>
    </w:p>
    <w:p w14:paraId="07217502" w14:textId="77777777" w:rsidR="00B1081B" w:rsidRPr="00EB71D0" w:rsidRDefault="000026C2" w:rsidP="0014546C">
      <w:pPr>
        <w:tabs>
          <w:tab w:val="left" w:pos="5220"/>
        </w:tabs>
        <w:rPr>
          <w:rFonts w:ascii="Arial Narrow" w:eastAsia="Times New Roman" w:hAnsi="Arial Narrow" w:cs="Arial"/>
          <w:sz w:val="26"/>
          <w:szCs w:val="26"/>
          <w:lang w:val="es-ES_tradnl" w:eastAsia="es-CO"/>
        </w:rPr>
      </w:pPr>
      <w:r w:rsidRPr="00EB71D0">
        <w:rPr>
          <w:rFonts w:ascii="Arial Narrow" w:eastAsia="Times New Roman" w:hAnsi="Arial Narrow" w:cs="Arial"/>
          <w:sz w:val="26"/>
          <w:szCs w:val="26"/>
          <w:lang w:val="es-ES_tradnl" w:eastAsia="es-CO"/>
        </w:rPr>
        <w:lastRenderedPageBreak/>
        <w:tab/>
      </w:r>
    </w:p>
    <w:sectPr w:rsidR="00B1081B" w:rsidRPr="00EB71D0" w:rsidSect="00232FBE">
      <w:headerReference w:type="default" r:id="rId8"/>
      <w:footerReference w:type="default" r:id="rId9"/>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0A157" w14:textId="77777777" w:rsidR="00836BC9" w:rsidRDefault="00836BC9" w:rsidP="00D41730">
      <w:pPr>
        <w:spacing w:after="0" w:line="240" w:lineRule="auto"/>
      </w:pPr>
      <w:r>
        <w:separator/>
      </w:r>
    </w:p>
  </w:endnote>
  <w:endnote w:type="continuationSeparator" w:id="0">
    <w:p w14:paraId="69DE88C8" w14:textId="77777777" w:rsidR="00836BC9" w:rsidRDefault="00836BC9" w:rsidP="00D41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7530574"/>
      <w:docPartObj>
        <w:docPartGallery w:val="Page Numbers (Bottom of Page)"/>
        <w:docPartUnique/>
      </w:docPartObj>
    </w:sdtPr>
    <w:sdtEndPr/>
    <w:sdtContent>
      <w:sdt>
        <w:sdtPr>
          <w:id w:val="-1769616900"/>
          <w:docPartObj>
            <w:docPartGallery w:val="Page Numbers (Top of Page)"/>
            <w:docPartUnique/>
          </w:docPartObj>
        </w:sdtPr>
        <w:sdtEndPr/>
        <w:sdtContent>
          <w:p w14:paraId="25E85F47" w14:textId="6F0648B6" w:rsidR="00B62173" w:rsidRDefault="00B62173">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2A456C">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2A456C">
              <w:rPr>
                <w:b/>
                <w:bCs/>
                <w:noProof/>
              </w:rPr>
              <w:t>29</w:t>
            </w:r>
            <w:r>
              <w:rPr>
                <w:b/>
                <w:bCs/>
                <w:sz w:val="24"/>
                <w:szCs w:val="24"/>
              </w:rPr>
              <w:fldChar w:fldCharType="end"/>
            </w:r>
          </w:p>
        </w:sdtContent>
      </w:sdt>
    </w:sdtContent>
  </w:sdt>
  <w:p w14:paraId="58523D18" w14:textId="62FB89C6" w:rsidR="00B62173" w:rsidRDefault="00B62173">
    <w:pPr>
      <w:pStyle w:val="Piedepgina"/>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EA1DAB" w14:textId="77777777" w:rsidR="00836BC9" w:rsidRDefault="00836BC9" w:rsidP="00D41730">
      <w:pPr>
        <w:spacing w:after="0" w:line="240" w:lineRule="auto"/>
      </w:pPr>
      <w:r>
        <w:separator/>
      </w:r>
    </w:p>
  </w:footnote>
  <w:footnote w:type="continuationSeparator" w:id="0">
    <w:p w14:paraId="33835036" w14:textId="77777777" w:rsidR="00836BC9" w:rsidRDefault="00836BC9" w:rsidP="00D41730">
      <w:pPr>
        <w:spacing w:after="0" w:line="240" w:lineRule="auto"/>
      </w:pPr>
      <w:r>
        <w:continuationSeparator/>
      </w:r>
    </w:p>
  </w:footnote>
  <w:footnote w:id="1">
    <w:p w14:paraId="2CEE06B8" w14:textId="77777777" w:rsidR="00B62173" w:rsidRDefault="00B62173" w:rsidP="00C14292">
      <w:pPr>
        <w:pStyle w:val="Textonotapie"/>
      </w:pPr>
      <w:r>
        <w:rPr>
          <w:rStyle w:val="Refdenotaalpie"/>
        </w:rPr>
        <w:footnoteRef/>
      </w:r>
      <w:r>
        <w:t xml:space="preserve"> </w:t>
      </w:r>
      <w:hyperlink r:id="rId1" w:history="1">
        <w:r w:rsidRPr="00940CB0">
          <w:rPr>
            <w:rStyle w:val="Hipervnculo"/>
          </w:rPr>
          <w:t>https://www.portalfarma.com/Profesionales/medicamentos/dopaje/Documents/Revision-Dopaje-PAM-382.pdf</w:t>
        </w:r>
      </w:hyperlink>
      <w:r>
        <w:t xml:space="preserve"> </w:t>
      </w:r>
    </w:p>
  </w:footnote>
  <w:footnote w:id="2">
    <w:p w14:paraId="42848F5E" w14:textId="77777777" w:rsidR="00B62173" w:rsidRDefault="00B62173" w:rsidP="00C14292">
      <w:pPr>
        <w:pStyle w:val="Textonotapie"/>
      </w:pPr>
      <w:r>
        <w:rPr>
          <w:rStyle w:val="Refdenotaalpie"/>
        </w:rPr>
        <w:footnoteRef/>
      </w:r>
      <w:r>
        <w:t xml:space="preserve"> </w:t>
      </w:r>
      <w:hyperlink r:id="rId2" w:history="1">
        <w:r w:rsidRPr="00940CB0">
          <w:rPr>
            <w:rStyle w:val="Hipervnculo"/>
          </w:rPr>
          <w:t>https://www.unicef.es/sites/unicef.es/files/Deporte06.pdf</w:t>
        </w:r>
      </w:hyperlink>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A24AE" w14:textId="77777777" w:rsidR="00B62173" w:rsidRPr="001069B7" w:rsidRDefault="00B62173" w:rsidP="00485485">
    <w:pPr>
      <w:pStyle w:val="Encabezado"/>
      <w:jc w:val="center"/>
      <w:rPr>
        <w:rFonts w:ascii="Monotype Corsiva" w:hAnsi="Monotype Corsiva"/>
        <w:sz w:val="28"/>
        <w:szCs w:val="28"/>
      </w:rPr>
    </w:pPr>
    <w:r>
      <w:rPr>
        <w:noProof/>
        <w:lang w:val="es-CO" w:eastAsia="es-CO"/>
      </w:rPr>
      <w:drawing>
        <wp:inline distT="0" distB="0" distL="0" distR="0" wp14:anchorId="4439298F" wp14:editId="5FFC1901">
          <wp:extent cx="2838450" cy="90487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904875"/>
                  </a:xfrm>
                  <a:prstGeom prst="rect">
                    <a:avLst/>
                  </a:prstGeom>
                  <a:noFill/>
                  <a:ln>
                    <a:noFill/>
                  </a:ln>
                </pic:spPr>
              </pic:pic>
            </a:graphicData>
          </a:graphic>
        </wp:inline>
      </w:drawing>
    </w:r>
    <w:r w:rsidRPr="001069B7">
      <w:rPr>
        <w:rFonts w:ascii="Monotype Corsiva" w:hAnsi="Monotype Corsiva"/>
        <w:sz w:val="40"/>
        <w:szCs w:val="40"/>
      </w:rPr>
      <w:t xml:space="preserve"> </w:t>
    </w:r>
  </w:p>
  <w:p w14:paraId="5E2DFCB4" w14:textId="77777777" w:rsidR="00B62173" w:rsidRDefault="00B6217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222B3"/>
    <w:multiLevelType w:val="hybridMultilevel"/>
    <w:tmpl w:val="0B168E18"/>
    <w:lvl w:ilvl="0" w:tplc="B1D6DEDA">
      <w:start w:val="1"/>
      <w:numFmt w:val="upperLetter"/>
      <w:lvlText w:val="%1."/>
      <w:lvlJc w:val="left"/>
      <w:pPr>
        <w:ind w:left="1117" w:hanging="360"/>
      </w:pPr>
      <w:rPr>
        <w:rFonts w:hint="default"/>
      </w:rPr>
    </w:lvl>
    <w:lvl w:ilvl="1" w:tplc="240A0019" w:tentative="1">
      <w:start w:val="1"/>
      <w:numFmt w:val="lowerLetter"/>
      <w:lvlText w:val="%2."/>
      <w:lvlJc w:val="left"/>
      <w:pPr>
        <w:ind w:left="1837" w:hanging="360"/>
      </w:pPr>
    </w:lvl>
    <w:lvl w:ilvl="2" w:tplc="240A001B" w:tentative="1">
      <w:start w:val="1"/>
      <w:numFmt w:val="lowerRoman"/>
      <w:lvlText w:val="%3."/>
      <w:lvlJc w:val="right"/>
      <w:pPr>
        <w:ind w:left="2557" w:hanging="180"/>
      </w:pPr>
    </w:lvl>
    <w:lvl w:ilvl="3" w:tplc="240A000F" w:tentative="1">
      <w:start w:val="1"/>
      <w:numFmt w:val="decimal"/>
      <w:lvlText w:val="%4."/>
      <w:lvlJc w:val="left"/>
      <w:pPr>
        <w:ind w:left="3277" w:hanging="360"/>
      </w:pPr>
    </w:lvl>
    <w:lvl w:ilvl="4" w:tplc="240A0019" w:tentative="1">
      <w:start w:val="1"/>
      <w:numFmt w:val="lowerLetter"/>
      <w:lvlText w:val="%5."/>
      <w:lvlJc w:val="left"/>
      <w:pPr>
        <w:ind w:left="3997" w:hanging="360"/>
      </w:pPr>
    </w:lvl>
    <w:lvl w:ilvl="5" w:tplc="240A001B" w:tentative="1">
      <w:start w:val="1"/>
      <w:numFmt w:val="lowerRoman"/>
      <w:lvlText w:val="%6."/>
      <w:lvlJc w:val="right"/>
      <w:pPr>
        <w:ind w:left="4717" w:hanging="180"/>
      </w:pPr>
    </w:lvl>
    <w:lvl w:ilvl="6" w:tplc="240A000F" w:tentative="1">
      <w:start w:val="1"/>
      <w:numFmt w:val="decimal"/>
      <w:lvlText w:val="%7."/>
      <w:lvlJc w:val="left"/>
      <w:pPr>
        <w:ind w:left="5437" w:hanging="360"/>
      </w:pPr>
    </w:lvl>
    <w:lvl w:ilvl="7" w:tplc="240A0019" w:tentative="1">
      <w:start w:val="1"/>
      <w:numFmt w:val="lowerLetter"/>
      <w:lvlText w:val="%8."/>
      <w:lvlJc w:val="left"/>
      <w:pPr>
        <w:ind w:left="6157" w:hanging="360"/>
      </w:pPr>
    </w:lvl>
    <w:lvl w:ilvl="8" w:tplc="240A001B" w:tentative="1">
      <w:start w:val="1"/>
      <w:numFmt w:val="lowerRoman"/>
      <w:lvlText w:val="%9."/>
      <w:lvlJc w:val="right"/>
      <w:pPr>
        <w:ind w:left="6877" w:hanging="180"/>
      </w:pPr>
    </w:lvl>
  </w:abstractNum>
  <w:abstractNum w:abstractNumId="1" w15:restartNumberingAfterBreak="0">
    <w:nsid w:val="06FA5106"/>
    <w:multiLevelType w:val="hybridMultilevel"/>
    <w:tmpl w:val="0B3C7396"/>
    <w:lvl w:ilvl="0" w:tplc="CB227FB8">
      <w:start w:val="1"/>
      <w:numFmt w:val="bullet"/>
      <w:lvlText w:val=""/>
      <w:lvlJc w:val="left"/>
      <w:pPr>
        <w:ind w:left="1140" w:hanging="360"/>
      </w:pPr>
      <w:rPr>
        <w:rFonts w:ascii="Symbol" w:hAnsi="Symbol" w:hint="default"/>
      </w:rPr>
    </w:lvl>
    <w:lvl w:ilvl="1" w:tplc="240A0003" w:tentative="1">
      <w:start w:val="1"/>
      <w:numFmt w:val="bullet"/>
      <w:lvlText w:val="o"/>
      <w:lvlJc w:val="left"/>
      <w:pPr>
        <w:ind w:left="1860" w:hanging="360"/>
      </w:pPr>
      <w:rPr>
        <w:rFonts w:ascii="Courier New" w:hAnsi="Courier New" w:cs="Courier New" w:hint="default"/>
      </w:rPr>
    </w:lvl>
    <w:lvl w:ilvl="2" w:tplc="240A0005" w:tentative="1">
      <w:start w:val="1"/>
      <w:numFmt w:val="bullet"/>
      <w:lvlText w:val=""/>
      <w:lvlJc w:val="left"/>
      <w:pPr>
        <w:ind w:left="2580" w:hanging="360"/>
      </w:pPr>
      <w:rPr>
        <w:rFonts w:ascii="Wingdings" w:hAnsi="Wingdings" w:hint="default"/>
      </w:rPr>
    </w:lvl>
    <w:lvl w:ilvl="3" w:tplc="240A0001" w:tentative="1">
      <w:start w:val="1"/>
      <w:numFmt w:val="bullet"/>
      <w:lvlText w:val=""/>
      <w:lvlJc w:val="left"/>
      <w:pPr>
        <w:ind w:left="3300" w:hanging="360"/>
      </w:pPr>
      <w:rPr>
        <w:rFonts w:ascii="Symbol" w:hAnsi="Symbol" w:hint="default"/>
      </w:rPr>
    </w:lvl>
    <w:lvl w:ilvl="4" w:tplc="240A0003" w:tentative="1">
      <w:start w:val="1"/>
      <w:numFmt w:val="bullet"/>
      <w:lvlText w:val="o"/>
      <w:lvlJc w:val="left"/>
      <w:pPr>
        <w:ind w:left="4020" w:hanging="360"/>
      </w:pPr>
      <w:rPr>
        <w:rFonts w:ascii="Courier New" w:hAnsi="Courier New" w:cs="Courier New" w:hint="default"/>
      </w:rPr>
    </w:lvl>
    <w:lvl w:ilvl="5" w:tplc="240A0005" w:tentative="1">
      <w:start w:val="1"/>
      <w:numFmt w:val="bullet"/>
      <w:lvlText w:val=""/>
      <w:lvlJc w:val="left"/>
      <w:pPr>
        <w:ind w:left="4740" w:hanging="360"/>
      </w:pPr>
      <w:rPr>
        <w:rFonts w:ascii="Wingdings" w:hAnsi="Wingdings" w:hint="default"/>
      </w:rPr>
    </w:lvl>
    <w:lvl w:ilvl="6" w:tplc="240A0001" w:tentative="1">
      <w:start w:val="1"/>
      <w:numFmt w:val="bullet"/>
      <w:lvlText w:val=""/>
      <w:lvlJc w:val="left"/>
      <w:pPr>
        <w:ind w:left="5460" w:hanging="360"/>
      </w:pPr>
      <w:rPr>
        <w:rFonts w:ascii="Symbol" w:hAnsi="Symbol" w:hint="default"/>
      </w:rPr>
    </w:lvl>
    <w:lvl w:ilvl="7" w:tplc="240A0003" w:tentative="1">
      <w:start w:val="1"/>
      <w:numFmt w:val="bullet"/>
      <w:lvlText w:val="o"/>
      <w:lvlJc w:val="left"/>
      <w:pPr>
        <w:ind w:left="6180" w:hanging="360"/>
      </w:pPr>
      <w:rPr>
        <w:rFonts w:ascii="Courier New" w:hAnsi="Courier New" w:cs="Courier New" w:hint="default"/>
      </w:rPr>
    </w:lvl>
    <w:lvl w:ilvl="8" w:tplc="240A0005" w:tentative="1">
      <w:start w:val="1"/>
      <w:numFmt w:val="bullet"/>
      <w:lvlText w:val=""/>
      <w:lvlJc w:val="left"/>
      <w:pPr>
        <w:ind w:left="6900" w:hanging="360"/>
      </w:pPr>
      <w:rPr>
        <w:rFonts w:ascii="Wingdings" w:hAnsi="Wingdings" w:hint="default"/>
      </w:rPr>
    </w:lvl>
  </w:abstractNum>
  <w:abstractNum w:abstractNumId="2" w15:restartNumberingAfterBreak="0">
    <w:nsid w:val="07EE6D6A"/>
    <w:multiLevelType w:val="hybridMultilevel"/>
    <w:tmpl w:val="EBB06E9C"/>
    <w:lvl w:ilvl="0" w:tplc="8E90D780">
      <w:start w:val="1"/>
      <w:numFmt w:val="upperLetter"/>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A653C6"/>
    <w:multiLevelType w:val="hybridMultilevel"/>
    <w:tmpl w:val="3B48CA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8EE07F4"/>
    <w:multiLevelType w:val="hybridMultilevel"/>
    <w:tmpl w:val="C9704740"/>
    <w:lvl w:ilvl="0" w:tplc="240A000F">
      <w:start w:val="1"/>
      <w:numFmt w:val="decimal"/>
      <w:lvlText w:val="%1."/>
      <w:lvlJc w:val="left"/>
      <w:pPr>
        <w:ind w:left="92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B665369"/>
    <w:multiLevelType w:val="hybridMultilevel"/>
    <w:tmpl w:val="BEDC87D0"/>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C9008F4"/>
    <w:multiLevelType w:val="hybridMultilevel"/>
    <w:tmpl w:val="25326322"/>
    <w:lvl w:ilvl="0" w:tplc="FA44B452">
      <w:start w:val="1"/>
      <w:numFmt w:val="upperLetter"/>
      <w:lvlText w:val="%1."/>
      <w:lvlJc w:val="left"/>
      <w:pPr>
        <w:ind w:left="1117" w:hanging="360"/>
      </w:pPr>
      <w:rPr>
        <w:rFonts w:hint="default"/>
      </w:rPr>
    </w:lvl>
    <w:lvl w:ilvl="1" w:tplc="240A0019" w:tentative="1">
      <w:start w:val="1"/>
      <w:numFmt w:val="lowerLetter"/>
      <w:lvlText w:val="%2."/>
      <w:lvlJc w:val="left"/>
      <w:pPr>
        <w:ind w:left="1837" w:hanging="360"/>
      </w:pPr>
    </w:lvl>
    <w:lvl w:ilvl="2" w:tplc="240A001B" w:tentative="1">
      <w:start w:val="1"/>
      <w:numFmt w:val="lowerRoman"/>
      <w:lvlText w:val="%3."/>
      <w:lvlJc w:val="right"/>
      <w:pPr>
        <w:ind w:left="2557" w:hanging="180"/>
      </w:pPr>
    </w:lvl>
    <w:lvl w:ilvl="3" w:tplc="240A000F" w:tentative="1">
      <w:start w:val="1"/>
      <w:numFmt w:val="decimal"/>
      <w:lvlText w:val="%4."/>
      <w:lvlJc w:val="left"/>
      <w:pPr>
        <w:ind w:left="3277" w:hanging="360"/>
      </w:pPr>
    </w:lvl>
    <w:lvl w:ilvl="4" w:tplc="240A0019" w:tentative="1">
      <w:start w:val="1"/>
      <w:numFmt w:val="lowerLetter"/>
      <w:lvlText w:val="%5."/>
      <w:lvlJc w:val="left"/>
      <w:pPr>
        <w:ind w:left="3997" w:hanging="360"/>
      </w:pPr>
    </w:lvl>
    <w:lvl w:ilvl="5" w:tplc="240A001B" w:tentative="1">
      <w:start w:val="1"/>
      <w:numFmt w:val="lowerRoman"/>
      <w:lvlText w:val="%6."/>
      <w:lvlJc w:val="right"/>
      <w:pPr>
        <w:ind w:left="4717" w:hanging="180"/>
      </w:pPr>
    </w:lvl>
    <w:lvl w:ilvl="6" w:tplc="240A000F" w:tentative="1">
      <w:start w:val="1"/>
      <w:numFmt w:val="decimal"/>
      <w:lvlText w:val="%7."/>
      <w:lvlJc w:val="left"/>
      <w:pPr>
        <w:ind w:left="5437" w:hanging="360"/>
      </w:pPr>
    </w:lvl>
    <w:lvl w:ilvl="7" w:tplc="240A0019" w:tentative="1">
      <w:start w:val="1"/>
      <w:numFmt w:val="lowerLetter"/>
      <w:lvlText w:val="%8."/>
      <w:lvlJc w:val="left"/>
      <w:pPr>
        <w:ind w:left="6157" w:hanging="360"/>
      </w:pPr>
    </w:lvl>
    <w:lvl w:ilvl="8" w:tplc="240A001B" w:tentative="1">
      <w:start w:val="1"/>
      <w:numFmt w:val="lowerRoman"/>
      <w:lvlText w:val="%9."/>
      <w:lvlJc w:val="right"/>
      <w:pPr>
        <w:ind w:left="6877" w:hanging="180"/>
      </w:pPr>
    </w:lvl>
  </w:abstractNum>
  <w:abstractNum w:abstractNumId="7" w15:restartNumberingAfterBreak="0">
    <w:nsid w:val="1EFC6455"/>
    <w:multiLevelType w:val="hybridMultilevel"/>
    <w:tmpl w:val="BE7C42DC"/>
    <w:lvl w:ilvl="0" w:tplc="240A000D">
      <w:start w:val="1"/>
      <w:numFmt w:val="bullet"/>
      <w:lvlText w:val=""/>
      <w:lvlJc w:val="left"/>
      <w:pPr>
        <w:ind w:left="1500" w:hanging="360"/>
      </w:pPr>
      <w:rPr>
        <w:rFonts w:ascii="Wingdings" w:hAnsi="Wingdings" w:hint="default"/>
      </w:rPr>
    </w:lvl>
    <w:lvl w:ilvl="1" w:tplc="240A0003" w:tentative="1">
      <w:start w:val="1"/>
      <w:numFmt w:val="bullet"/>
      <w:lvlText w:val="o"/>
      <w:lvlJc w:val="left"/>
      <w:pPr>
        <w:ind w:left="2220" w:hanging="360"/>
      </w:pPr>
      <w:rPr>
        <w:rFonts w:ascii="Courier New" w:hAnsi="Courier New" w:cs="Courier New" w:hint="default"/>
      </w:rPr>
    </w:lvl>
    <w:lvl w:ilvl="2" w:tplc="240A0005" w:tentative="1">
      <w:start w:val="1"/>
      <w:numFmt w:val="bullet"/>
      <w:lvlText w:val=""/>
      <w:lvlJc w:val="left"/>
      <w:pPr>
        <w:ind w:left="2940" w:hanging="360"/>
      </w:pPr>
      <w:rPr>
        <w:rFonts w:ascii="Wingdings" w:hAnsi="Wingdings" w:hint="default"/>
      </w:rPr>
    </w:lvl>
    <w:lvl w:ilvl="3" w:tplc="240A0001" w:tentative="1">
      <w:start w:val="1"/>
      <w:numFmt w:val="bullet"/>
      <w:lvlText w:val=""/>
      <w:lvlJc w:val="left"/>
      <w:pPr>
        <w:ind w:left="3660" w:hanging="360"/>
      </w:pPr>
      <w:rPr>
        <w:rFonts w:ascii="Symbol" w:hAnsi="Symbol" w:hint="default"/>
      </w:rPr>
    </w:lvl>
    <w:lvl w:ilvl="4" w:tplc="240A0003" w:tentative="1">
      <w:start w:val="1"/>
      <w:numFmt w:val="bullet"/>
      <w:lvlText w:val="o"/>
      <w:lvlJc w:val="left"/>
      <w:pPr>
        <w:ind w:left="4380" w:hanging="360"/>
      </w:pPr>
      <w:rPr>
        <w:rFonts w:ascii="Courier New" w:hAnsi="Courier New" w:cs="Courier New" w:hint="default"/>
      </w:rPr>
    </w:lvl>
    <w:lvl w:ilvl="5" w:tplc="240A0005" w:tentative="1">
      <w:start w:val="1"/>
      <w:numFmt w:val="bullet"/>
      <w:lvlText w:val=""/>
      <w:lvlJc w:val="left"/>
      <w:pPr>
        <w:ind w:left="5100" w:hanging="360"/>
      </w:pPr>
      <w:rPr>
        <w:rFonts w:ascii="Wingdings" w:hAnsi="Wingdings" w:hint="default"/>
      </w:rPr>
    </w:lvl>
    <w:lvl w:ilvl="6" w:tplc="240A0001" w:tentative="1">
      <w:start w:val="1"/>
      <w:numFmt w:val="bullet"/>
      <w:lvlText w:val=""/>
      <w:lvlJc w:val="left"/>
      <w:pPr>
        <w:ind w:left="5820" w:hanging="360"/>
      </w:pPr>
      <w:rPr>
        <w:rFonts w:ascii="Symbol" w:hAnsi="Symbol" w:hint="default"/>
      </w:rPr>
    </w:lvl>
    <w:lvl w:ilvl="7" w:tplc="240A0003" w:tentative="1">
      <w:start w:val="1"/>
      <w:numFmt w:val="bullet"/>
      <w:lvlText w:val="o"/>
      <w:lvlJc w:val="left"/>
      <w:pPr>
        <w:ind w:left="6540" w:hanging="360"/>
      </w:pPr>
      <w:rPr>
        <w:rFonts w:ascii="Courier New" w:hAnsi="Courier New" w:cs="Courier New" w:hint="default"/>
      </w:rPr>
    </w:lvl>
    <w:lvl w:ilvl="8" w:tplc="240A0005" w:tentative="1">
      <w:start w:val="1"/>
      <w:numFmt w:val="bullet"/>
      <w:lvlText w:val=""/>
      <w:lvlJc w:val="left"/>
      <w:pPr>
        <w:ind w:left="7260" w:hanging="360"/>
      </w:pPr>
      <w:rPr>
        <w:rFonts w:ascii="Wingdings" w:hAnsi="Wingdings" w:hint="default"/>
      </w:rPr>
    </w:lvl>
  </w:abstractNum>
  <w:abstractNum w:abstractNumId="8" w15:restartNumberingAfterBreak="0">
    <w:nsid w:val="1F82763F"/>
    <w:multiLevelType w:val="hybridMultilevel"/>
    <w:tmpl w:val="2DAA4DB2"/>
    <w:lvl w:ilvl="0" w:tplc="09F44B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11315E"/>
    <w:multiLevelType w:val="hybridMultilevel"/>
    <w:tmpl w:val="235E44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7FF409D"/>
    <w:multiLevelType w:val="hybridMultilevel"/>
    <w:tmpl w:val="17B61A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86A3E67"/>
    <w:multiLevelType w:val="hybridMultilevel"/>
    <w:tmpl w:val="B19ADCFC"/>
    <w:lvl w:ilvl="0" w:tplc="240A000D">
      <w:start w:val="1"/>
      <w:numFmt w:val="bullet"/>
      <w:lvlText w:val=""/>
      <w:lvlJc w:val="left"/>
      <w:pPr>
        <w:ind w:left="1477" w:hanging="360"/>
      </w:pPr>
      <w:rPr>
        <w:rFonts w:ascii="Wingdings" w:hAnsi="Wingdings" w:hint="default"/>
      </w:rPr>
    </w:lvl>
    <w:lvl w:ilvl="1" w:tplc="240A0003" w:tentative="1">
      <w:start w:val="1"/>
      <w:numFmt w:val="bullet"/>
      <w:lvlText w:val="o"/>
      <w:lvlJc w:val="left"/>
      <w:pPr>
        <w:ind w:left="2197" w:hanging="360"/>
      </w:pPr>
      <w:rPr>
        <w:rFonts w:ascii="Courier New" w:hAnsi="Courier New" w:cs="Courier New" w:hint="default"/>
      </w:rPr>
    </w:lvl>
    <w:lvl w:ilvl="2" w:tplc="240A0005" w:tentative="1">
      <w:start w:val="1"/>
      <w:numFmt w:val="bullet"/>
      <w:lvlText w:val=""/>
      <w:lvlJc w:val="left"/>
      <w:pPr>
        <w:ind w:left="2917" w:hanging="360"/>
      </w:pPr>
      <w:rPr>
        <w:rFonts w:ascii="Wingdings" w:hAnsi="Wingdings" w:hint="default"/>
      </w:rPr>
    </w:lvl>
    <w:lvl w:ilvl="3" w:tplc="240A0001" w:tentative="1">
      <w:start w:val="1"/>
      <w:numFmt w:val="bullet"/>
      <w:lvlText w:val=""/>
      <w:lvlJc w:val="left"/>
      <w:pPr>
        <w:ind w:left="3637" w:hanging="360"/>
      </w:pPr>
      <w:rPr>
        <w:rFonts w:ascii="Symbol" w:hAnsi="Symbol" w:hint="default"/>
      </w:rPr>
    </w:lvl>
    <w:lvl w:ilvl="4" w:tplc="240A0003" w:tentative="1">
      <w:start w:val="1"/>
      <w:numFmt w:val="bullet"/>
      <w:lvlText w:val="o"/>
      <w:lvlJc w:val="left"/>
      <w:pPr>
        <w:ind w:left="4357" w:hanging="360"/>
      </w:pPr>
      <w:rPr>
        <w:rFonts w:ascii="Courier New" w:hAnsi="Courier New" w:cs="Courier New" w:hint="default"/>
      </w:rPr>
    </w:lvl>
    <w:lvl w:ilvl="5" w:tplc="240A0005" w:tentative="1">
      <w:start w:val="1"/>
      <w:numFmt w:val="bullet"/>
      <w:lvlText w:val=""/>
      <w:lvlJc w:val="left"/>
      <w:pPr>
        <w:ind w:left="5077" w:hanging="360"/>
      </w:pPr>
      <w:rPr>
        <w:rFonts w:ascii="Wingdings" w:hAnsi="Wingdings" w:hint="default"/>
      </w:rPr>
    </w:lvl>
    <w:lvl w:ilvl="6" w:tplc="240A0001" w:tentative="1">
      <w:start w:val="1"/>
      <w:numFmt w:val="bullet"/>
      <w:lvlText w:val=""/>
      <w:lvlJc w:val="left"/>
      <w:pPr>
        <w:ind w:left="5797" w:hanging="360"/>
      </w:pPr>
      <w:rPr>
        <w:rFonts w:ascii="Symbol" w:hAnsi="Symbol" w:hint="default"/>
      </w:rPr>
    </w:lvl>
    <w:lvl w:ilvl="7" w:tplc="240A0003" w:tentative="1">
      <w:start w:val="1"/>
      <w:numFmt w:val="bullet"/>
      <w:lvlText w:val="o"/>
      <w:lvlJc w:val="left"/>
      <w:pPr>
        <w:ind w:left="6517" w:hanging="360"/>
      </w:pPr>
      <w:rPr>
        <w:rFonts w:ascii="Courier New" w:hAnsi="Courier New" w:cs="Courier New" w:hint="default"/>
      </w:rPr>
    </w:lvl>
    <w:lvl w:ilvl="8" w:tplc="240A0005" w:tentative="1">
      <w:start w:val="1"/>
      <w:numFmt w:val="bullet"/>
      <w:lvlText w:val=""/>
      <w:lvlJc w:val="left"/>
      <w:pPr>
        <w:ind w:left="7237" w:hanging="360"/>
      </w:pPr>
      <w:rPr>
        <w:rFonts w:ascii="Wingdings" w:hAnsi="Wingdings" w:hint="default"/>
      </w:rPr>
    </w:lvl>
  </w:abstractNum>
  <w:abstractNum w:abstractNumId="12" w15:restartNumberingAfterBreak="0">
    <w:nsid w:val="56EA2949"/>
    <w:multiLevelType w:val="hybridMultilevel"/>
    <w:tmpl w:val="39A0219C"/>
    <w:lvl w:ilvl="0" w:tplc="D764D398">
      <w:start w:val="1"/>
      <w:numFmt w:val="bullet"/>
      <w:lvlText w:val="•"/>
      <w:lvlJc w:val="left"/>
      <w:pPr>
        <w:tabs>
          <w:tab w:val="num" w:pos="720"/>
        </w:tabs>
        <w:ind w:left="720" w:hanging="360"/>
      </w:pPr>
      <w:rPr>
        <w:rFonts w:ascii="Times New Roman" w:hAnsi="Times New Roman" w:hint="default"/>
      </w:rPr>
    </w:lvl>
    <w:lvl w:ilvl="1" w:tplc="F91A1BAE" w:tentative="1">
      <w:start w:val="1"/>
      <w:numFmt w:val="bullet"/>
      <w:lvlText w:val="•"/>
      <w:lvlJc w:val="left"/>
      <w:pPr>
        <w:tabs>
          <w:tab w:val="num" w:pos="1440"/>
        </w:tabs>
        <w:ind w:left="1440" w:hanging="360"/>
      </w:pPr>
      <w:rPr>
        <w:rFonts w:ascii="Times New Roman" w:hAnsi="Times New Roman" w:hint="default"/>
      </w:rPr>
    </w:lvl>
    <w:lvl w:ilvl="2" w:tplc="3D460EE2" w:tentative="1">
      <w:start w:val="1"/>
      <w:numFmt w:val="bullet"/>
      <w:lvlText w:val="•"/>
      <w:lvlJc w:val="left"/>
      <w:pPr>
        <w:tabs>
          <w:tab w:val="num" w:pos="2160"/>
        </w:tabs>
        <w:ind w:left="2160" w:hanging="360"/>
      </w:pPr>
      <w:rPr>
        <w:rFonts w:ascii="Times New Roman" w:hAnsi="Times New Roman" w:hint="default"/>
      </w:rPr>
    </w:lvl>
    <w:lvl w:ilvl="3" w:tplc="674AF72E" w:tentative="1">
      <w:start w:val="1"/>
      <w:numFmt w:val="bullet"/>
      <w:lvlText w:val="•"/>
      <w:lvlJc w:val="left"/>
      <w:pPr>
        <w:tabs>
          <w:tab w:val="num" w:pos="2880"/>
        </w:tabs>
        <w:ind w:left="2880" w:hanging="360"/>
      </w:pPr>
      <w:rPr>
        <w:rFonts w:ascii="Times New Roman" w:hAnsi="Times New Roman" w:hint="default"/>
      </w:rPr>
    </w:lvl>
    <w:lvl w:ilvl="4" w:tplc="3FF891B8" w:tentative="1">
      <w:start w:val="1"/>
      <w:numFmt w:val="bullet"/>
      <w:lvlText w:val="•"/>
      <w:lvlJc w:val="left"/>
      <w:pPr>
        <w:tabs>
          <w:tab w:val="num" w:pos="3600"/>
        </w:tabs>
        <w:ind w:left="3600" w:hanging="360"/>
      </w:pPr>
      <w:rPr>
        <w:rFonts w:ascii="Times New Roman" w:hAnsi="Times New Roman" w:hint="default"/>
      </w:rPr>
    </w:lvl>
    <w:lvl w:ilvl="5" w:tplc="EABA64E8" w:tentative="1">
      <w:start w:val="1"/>
      <w:numFmt w:val="bullet"/>
      <w:lvlText w:val="•"/>
      <w:lvlJc w:val="left"/>
      <w:pPr>
        <w:tabs>
          <w:tab w:val="num" w:pos="4320"/>
        </w:tabs>
        <w:ind w:left="4320" w:hanging="360"/>
      </w:pPr>
      <w:rPr>
        <w:rFonts w:ascii="Times New Roman" w:hAnsi="Times New Roman" w:hint="default"/>
      </w:rPr>
    </w:lvl>
    <w:lvl w:ilvl="6" w:tplc="B3D4467E" w:tentative="1">
      <w:start w:val="1"/>
      <w:numFmt w:val="bullet"/>
      <w:lvlText w:val="•"/>
      <w:lvlJc w:val="left"/>
      <w:pPr>
        <w:tabs>
          <w:tab w:val="num" w:pos="5040"/>
        </w:tabs>
        <w:ind w:left="5040" w:hanging="360"/>
      </w:pPr>
      <w:rPr>
        <w:rFonts w:ascii="Times New Roman" w:hAnsi="Times New Roman" w:hint="default"/>
      </w:rPr>
    </w:lvl>
    <w:lvl w:ilvl="7" w:tplc="E7B81D7C" w:tentative="1">
      <w:start w:val="1"/>
      <w:numFmt w:val="bullet"/>
      <w:lvlText w:val="•"/>
      <w:lvlJc w:val="left"/>
      <w:pPr>
        <w:tabs>
          <w:tab w:val="num" w:pos="5760"/>
        </w:tabs>
        <w:ind w:left="5760" w:hanging="360"/>
      </w:pPr>
      <w:rPr>
        <w:rFonts w:ascii="Times New Roman" w:hAnsi="Times New Roman" w:hint="default"/>
      </w:rPr>
    </w:lvl>
    <w:lvl w:ilvl="8" w:tplc="9724D6E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7BE5F8A"/>
    <w:multiLevelType w:val="hybridMultilevel"/>
    <w:tmpl w:val="92CC2B10"/>
    <w:lvl w:ilvl="0" w:tplc="80DC0F84">
      <w:start w:val="1"/>
      <w:numFmt w:val="upperLetter"/>
      <w:lvlText w:val="%1."/>
      <w:lvlJc w:val="left"/>
      <w:pPr>
        <w:ind w:left="757" w:hanging="360"/>
      </w:pPr>
      <w:rPr>
        <w:rFonts w:hint="default"/>
      </w:rPr>
    </w:lvl>
    <w:lvl w:ilvl="1" w:tplc="240A0019" w:tentative="1">
      <w:start w:val="1"/>
      <w:numFmt w:val="lowerLetter"/>
      <w:lvlText w:val="%2."/>
      <w:lvlJc w:val="left"/>
      <w:pPr>
        <w:ind w:left="1477" w:hanging="360"/>
      </w:pPr>
    </w:lvl>
    <w:lvl w:ilvl="2" w:tplc="240A001B" w:tentative="1">
      <w:start w:val="1"/>
      <w:numFmt w:val="lowerRoman"/>
      <w:lvlText w:val="%3."/>
      <w:lvlJc w:val="right"/>
      <w:pPr>
        <w:ind w:left="2197" w:hanging="180"/>
      </w:pPr>
    </w:lvl>
    <w:lvl w:ilvl="3" w:tplc="240A000F" w:tentative="1">
      <w:start w:val="1"/>
      <w:numFmt w:val="decimal"/>
      <w:lvlText w:val="%4."/>
      <w:lvlJc w:val="left"/>
      <w:pPr>
        <w:ind w:left="2917" w:hanging="360"/>
      </w:pPr>
    </w:lvl>
    <w:lvl w:ilvl="4" w:tplc="240A0019" w:tentative="1">
      <w:start w:val="1"/>
      <w:numFmt w:val="lowerLetter"/>
      <w:lvlText w:val="%5."/>
      <w:lvlJc w:val="left"/>
      <w:pPr>
        <w:ind w:left="3637" w:hanging="360"/>
      </w:pPr>
    </w:lvl>
    <w:lvl w:ilvl="5" w:tplc="240A001B" w:tentative="1">
      <w:start w:val="1"/>
      <w:numFmt w:val="lowerRoman"/>
      <w:lvlText w:val="%6."/>
      <w:lvlJc w:val="right"/>
      <w:pPr>
        <w:ind w:left="4357" w:hanging="180"/>
      </w:pPr>
    </w:lvl>
    <w:lvl w:ilvl="6" w:tplc="240A000F" w:tentative="1">
      <w:start w:val="1"/>
      <w:numFmt w:val="decimal"/>
      <w:lvlText w:val="%7."/>
      <w:lvlJc w:val="left"/>
      <w:pPr>
        <w:ind w:left="5077" w:hanging="360"/>
      </w:pPr>
    </w:lvl>
    <w:lvl w:ilvl="7" w:tplc="240A0019" w:tentative="1">
      <w:start w:val="1"/>
      <w:numFmt w:val="lowerLetter"/>
      <w:lvlText w:val="%8."/>
      <w:lvlJc w:val="left"/>
      <w:pPr>
        <w:ind w:left="5797" w:hanging="360"/>
      </w:pPr>
    </w:lvl>
    <w:lvl w:ilvl="8" w:tplc="240A001B" w:tentative="1">
      <w:start w:val="1"/>
      <w:numFmt w:val="lowerRoman"/>
      <w:lvlText w:val="%9."/>
      <w:lvlJc w:val="right"/>
      <w:pPr>
        <w:ind w:left="6517" w:hanging="180"/>
      </w:pPr>
    </w:lvl>
  </w:abstractNum>
  <w:abstractNum w:abstractNumId="14" w15:restartNumberingAfterBreak="0">
    <w:nsid w:val="5A424D18"/>
    <w:multiLevelType w:val="hybridMultilevel"/>
    <w:tmpl w:val="8FA8A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321C7C"/>
    <w:multiLevelType w:val="hybridMultilevel"/>
    <w:tmpl w:val="BE22B012"/>
    <w:lvl w:ilvl="0" w:tplc="478ACBB2">
      <w:start w:val="1"/>
      <w:numFmt w:val="decimal"/>
      <w:lvlText w:val="%1."/>
      <w:lvlJc w:val="left"/>
      <w:pPr>
        <w:ind w:left="720" w:hanging="360"/>
      </w:pPr>
      <w:rPr>
        <w:rFonts w:ascii="Bookman Old Style" w:eastAsia="Century Gothic" w:hAnsi="Bookman Old Style" w:cs="Century Gothic"/>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F1E5E1D"/>
    <w:multiLevelType w:val="hybridMultilevel"/>
    <w:tmpl w:val="DA903FF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655257A1"/>
    <w:multiLevelType w:val="hybridMultilevel"/>
    <w:tmpl w:val="BEDC87D0"/>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8BD74E1"/>
    <w:multiLevelType w:val="hybridMultilevel"/>
    <w:tmpl w:val="740EE0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A1A422A"/>
    <w:multiLevelType w:val="hybridMultilevel"/>
    <w:tmpl w:val="B1EEAC70"/>
    <w:lvl w:ilvl="0" w:tplc="0A20A796">
      <w:start w:val="1"/>
      <w:numFmt w:val="upperLetter"/>
      <w:lvlText w:val="%1)"/>
      <w:lvlJc w:val="left"/>
      <w:pPr>
        <w:ind w:left="420" w:hanging="360"/>
      </w:pPr>
      <w:rPr>
        <w:rFonts w:hint="default"/>
        <w:color w:val="auto"/>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0" w15:restartNumberingAfterBreak="0">
    <w:nsid w:val="6B6A16E8"/>
    <w:multiLevelType w:val="hybridMultilevel"/>
    <w:tmpl w:val="A8821094"/>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1" w15:restartNumberingAfterBreak="0">
    <w:nsid w:val="71DA1168"/>
    <w:multiLevelType w:val="hybridMultilevel"/>
    <w:tmpl w:val="B8FE6C5E"/>
    <w:lvl w:ilvl="0" w:tplc="33A470A4">
      <w:start w:val="1"/>
      <w:numFmt w:val="decimal"/>
      <w:lvlText w:val="%1."/>
      <w:lvlJc w:val="left"/>
      <w:pPr>
        <w:ind w:left="720" w:hanging="360"/>
      </w:pPr>
      <w:rPr>
        <w:rFonts w:hint="default"/>
        <w:u w:val="single"/>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7F176C15"/>
    <w:multiLevelType w:val="hybridMultilevel"/>
    <w:tmpl w:val="40A211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4"/>
  </w:num>
  <w:num w:numId="4">
    <w:abstractNumId w:val="2"/>
  </w:num>
  <w:num w:numId="5">
    <w:abstractNumId w:val="9"/>
  </w:num>
  <w:num w:numId="6">
    <w:abstractNumId w:val="12"/>
  </w:num>
  <w:num w:numId="7">
    <w:abstractNumId w:val="14"/>
  </w:num>
  <w:num w:numId="8">
    <w:abstractNumId w:val="22"/>
  </w:num>
  <w:num w:numId="9">
    <w:abstractNumId w:val="19"/>
  </w:num>
  <w:num w:numId="10">
    <w:abstractNumId w:val="3"/>
  </w:num>
  <w:num w:numId="11">
    <w:abstractNumId w:val="21"/>
  </w:num>
  <w:num w:numId="12">
    <w:abstractNumId w:val="16"/>
  </w:num>
  <w:num w:numId="13">
    <w:abstractNumId w:val="18"/>
  </w:num>
  <w:num w:numId="14">
    <w:abstractNumId w:val="20"/>
  </w:num>
  <w:num w:numId="15">
    <w:abstractNumId w:val="1"/>
  </w:num>
  <w:num w:numId="16">
    <w:abstractNumId w:val="0"/>
  </w:num>
  <w:num w:numId="17">
    <w:abstractNumId w:val="13"/>
  </w:num>
  <w:num w:numId="18">
    <w:abstractNumId w:val="6"/>
  </w:num>
  <w:num w:numId="19">
    <w:abstractNumId w:val="7"/>
  </w:num>
  <w:num w:numId="20">
    <w:abstractNumId w:val="11"/>
  </w:num>
  <w:num w:numId="21">
    <w:abstractNumId w:val="17"/>
  </w:num>
  <w:num w:numId="22">
    <w:abstractNumId w:val="5"/>
  </w:num>
  <w:num w:numId="23">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730"/>
    <w:rsid w:val="00001732"/>
    <w:rsid w:val="000026C2"/>
    <w:rsid w:val="00011CB9"/>
    <w:rsid w:val="000132A4"/>
    <w:rsid w:val="000147CC"/>
    <w:rsid w:val="00016DF6"/>
    <w:rsid w:val="00016FC6"/>
    <w:rsid w:val="000171C8"/>
    <w:rsid w:val="0002014F"/>
    <w:rsid w:val="0002028B"/>
    <w:rsid w:val="0003164A"/>
    <w:rsid w:val="000327EF"/>
    <w:rsid w:val="00033018"/>
    <w:rsid w:val="000369ED"/>
    <w:rsid w:val="00040D40"/>
    <w:rsid w:val="0004629F"/>
    <w:rsid w:val="000530BF"/>
    <w:rsid w:val="00057E24"/>
    <w:rsid w:val="0006394D"/>
    <w:rsid w:val="00063AAE"/>
    <w:rsid w:val="000778C2"/>
    <w:rsid w:val="000918ED"/>
    <w:rsid w:val="00092FB1"/>
    <w:rsid w:val="00095580"/>
    <w:rsid w:val="000A1D0D"/>
    <w:rsid w:val="000A3308"/>
    <w:rsid w:val="000A4ABC"/>
    <w:rsid w:val="000A7B42"/>
    <w:rsid w:val="000B65CA"/>
    <w:rsid w:val="000B78C8"/>
    <w:rsid w:val="000C1B96"/>
    <w:rsid w:val="000C2065"/>
    <w:rsid w:val="000C577F"/>
    <w:rsid w:val="000C6629"/>
    <w:rsid w:val="000C71B2"/>
    <w:rsid w:val="000C7D0F"/>
    <w:rsid w:val="000C7FAE"/>
    <w:rsid w:val="000D1AB3"/>
    <w:rsid w:val="000D33A4"/>
    <w:rsid w:val="000E0B67"/>
    <w:rsid w:val="000E51C8"/>
    <w:rsid w:val="000F35B7"/>
    <w:rsid w:val="000F4E8C"/>
    <w:rsid w:val="000F51A1"/>
    <w:rsid w:val="001104EE"/>
    <w:rsid w:val="00111E4E"/>
    <w:rsid w:val="00117EB4"/>
    <w:rsid w:val="00122A84"/>
    <w:rsid w:val="00123709"/>
    <w:rsid w:val="001332A2"/>
    <w:rsid w:val="00133380"/>
    <w:rsid w:val="00134667"/>
    <w:rsid w:val="0014546C"/>
    <w:rsid w:val="0016612F"/>
    <w:rsid w:val="001703E6"/>
    <w:rsid w:val="00171222"/>
    <w:rsid w:val="00171561"/>
    <w:rsid w:val="001755D5"/>
    <w:rsid w:val="00182546"/>
    <w:rsid w:val="001836A9"/>
    <w:rsid w:val="00185A0F"/>
    <w:rsid w:val="00195B4C"/>
    <w:rsid w:val="001A200C"/>
    <w:rsid w:val="001B2488"/>
    <w:rsid w:val="001C0290"/>
    <w:rsid w:val="001D4D8F"/>
    <w:rsid w:val="001D74E1"/>
    <w:rsid w:val="001E24CA"/>
    <w:rsid w:val="001F4B93"/>
    <w:rsid w:val="002035ED"/>
    <w:rsid w:val="00205199"/>
    <w:rsid w:val="00212A19"/>
    <w:rsid w:val="002136C3"/>
    <w:rsid w:val="002150E3"/>
    <w:rsid w:val="00216617"/>
    <w:rsid w:val="002327D2"/>
    <w:rsid w:val="00232FBE"/>
    <w:rsid w:val="00233598"/>
    <w:rsid w:val="002353A7"/>
    <w:rsid w:val="00236B32"/>
    <w:rsid w:val="00241E53"/>
    <w:rsid w:val="00247001"/>
    <w:rsid w:val="0025141D"/>
    <w:rsid w:val="00252960"/>
    <w:rsid w:val="00252D1C"/>
    <w:rsid w:val="002559C2"/>
    <w:rsid w:val="0026162D"/>
    <w:rsid w:val="00261E0A"/>
    <w:rsid w:val="0026360E"/>
    <w:rsid w:val="002643CE"/>
    <w:rsid w:val="0026461D"/>
    <w:rsid w:val="00266786"/>
    <w:rsid w:val="00274D73"/>
    <w:rsid w:val="002766D4"/>
    <w:rsid w:val="00286AAC"/>
    <w:rsid w:val="00286CC0"/>
    <w:rsid w:val="00292E20"/>
    <w:rsid w:val="002972C0"/>
    <w:rsid w:val="002A244C"/>
    <w:rsid w:val="002A456C"/>
    <w:rsid w:val="002A6C5B"/>
    <w:rsid w:val="002B4206"/>
    <w:rsid w:val="002B4856"/>
    <w:rsid w:val="002C4AAB"/>
    <w:rsid w:val="002C50F5"/>
    <w:rsid w:val="002C71C8"/>
    <w:rsid w:val="002D0AE9"/>
    <w:rsid w:val="002D6EAE"/>
    <w:rsid w:val="002D72E4"/>
    <w:rsid w:val="002E20E9"/>
    <w:rsid w:val="002E3C93"/>
    <w:rsid w:val="002E4453"/>
    <w:rsid w:val="002E5BCB"/>
    <w:rsid w:val="002F2F3F"/>
    <w:rsid w:val="002F5D81"/>
    <w:rsid w:val="002F7F1D"/>
    <w:rsid w:val="0030201A"/>
    <w:rsid w:val="00302C15"/>
    <w:rsid w:val="003044F8"/>
    <w:rsid w:val="00304B77"/>
    <w:rsid w:val="00304F17"/>
    <w:rsid w:val="003100EA"/>
    <w:rsid w:val="00317D7F"/>
    <w:rsid w:val="0032019A"/>
    <w:rsid w:val="003210B1"/>
    <w:rsid w:val="0032423D"/>
    <w:rsid w:val="00331A27"/>
    <w:rsid w:val="00340A45"/>
    <w:rsid w:val="0034592B"/>
    <w:rsid w:val="00347325"/>
    <w:rsid w:val="0035407D"/>
    <w:rsid w:val="00360FEF"/>
    <w:rsid w:val="00365068"/>
    <w:rsid w:val="00367537"/>
    <w:rsid w:val="00370E04"/>
    <w:rsid w:val="00372878"/>
    <w:rsid w:val="00377F0A"/>
    <w:rsid w:val="00383084"/>
    <w:rsid w:val="00384CA6"/>
    <w:rsid w:val="003851E8"/>
    <w:rsid w:val="00386B9E"/>
    <w:rsid w:val="00387F96"/>
    <w:rsid w:val="00393C3C"/>
    <w:rsid w:val="003955D3"/>
    <w:rsid w:val="00396045"/>
    <w:rsid w:val="003966F3"/>
    <w:rsid w:val="00396B92"/>
    <w:rsid w:val="003A31BD"/>
    <w:rsid w:val="003B4638"/>
    <w:rsid w:val="003B6813"/>
    <w:rsid w:val="003C13F0"/>
    <w:rsid w:val="003C7D02"/>
    <w:rsid w:val="003D09E3"/>
    <w:rsid w:val="003D729E"/>
    <w:rsid w:val="003D794F"/>
    <w:rsid w:val="003E060B"/>
    <w:rsid w:val="003F0306"/>
    <w:rsid w:val="003F3B64"/>
    <w:rsid w:val="003F4C8A"/>
    <w:rsid w:val="003F7B80"/>
    <w:rsid w:val="00405E87"/>
    <w:rsid w:val="00410B21"/>
    <w:rsid w:val="00412163"/>
    <w:rsid w:val="00414A20"/>
    <w:rsid w:val="00416B35"/>
    <w:rsid w:val="00420316"/>
    <w:rsid w:val="0042130F"/>
    <w:rsid w:val="00421942"/>
    <w:rsid w:val="0042229F"/>
    <w:rsid w:val="00422382"/>
    <w:rsid w:val="00435D9C"/>
    <w:rsid w:val="00436EAD"/>
    <w:rsid w:val="004379B6"/>
    <w:rsid w:val="00440E1E"/>
    <w:rsid w:val="00447912"/>
    <w:rsid w:val="00451069"/>
    <w:rsid w:val="00454849"/>
    <w:rsid w:val="004556B4"/>
    <w:rsid w:val="004607C0"/>
    <w:rsid w:val="004626BD"/>
    <w:rsid w:val="00464183"/>
    <w:rsid w:val="004800C0"/>
    <w:rsid w:val="00480933"/>
    <w:rsid w:val="00481889"/>
    <w:rsid w:val="00482D55"/>
    <w:rsid w:val="00485485"/>
    <w:rsid w:val="00490AF7"/>
    <w:rsid w:val="004916A0"/>
    <w:rsid w:val="00496BC6"/>
    <w:rsid w:val="004A6078"/>
    <w:rsid w:val="004B38BE"/>
    <w:rsid w:val="004B584A"/>
    <w:rsid w:val="004C1CF2"/>
    <w:rsid w:val="004C35E5"/>
    <w:rsid w:val="004C6132"/>
    <w:rsid w:val="004D4B1D"/>
    <w:rsid w:val="004D730F"/>
    <w:rsid w:val="004E0871"/>
    <w:rsid w:val="004E28E4"/>
    <w:rsid w:val="004F3243"/>
    <w:rsid w:val="005001EA"/>
    <w:rsid w:val="005025BA"/>
    <w:rsid w:val="0050693D"/>
    <w:rsid w:val="00506AFA"/>
    <w:rsid w:val="005136B8"/>
    <w:rsid w:val="00523E9C"/>
    <w:rsid w:val="005246E8"/>
    <w:rsid w:val="00537818"/>
    <w:rsid w:val="00541BC7"/>
    <w:rsid w:val="0054564C"/>
    <w:rsid w:val="00546B59"/>
    <w:rsid w:val="00550084"/>
    <w:rsid w:val="005505F5"/>
    <w:rsid w:val="005530CD"/>
    <w:rsid w:val="00557979"/>
    <w:rsid w:val="00562097"/>
    <w:rsid w:val="00567BBA"/>
    <w:rsid w:val="00573949"/>
    <w:rsid w:val="00573D14"/>
    <w:rsid w:val="005758CF"/>
    <w:rsid w:val="005760EC"/>
    <w:rsid w:val="00580CD1"/>
    <w:rsid w:val="005823BE"/>
    <w:rsid w:val="00584177"/>
    <w:rsid w:val="005858FC"/>
    <w:rsid w:val="00590D62"/>
    <w:rsid w:val="00594357"/>
    <w:rsid w:val="005A6A6F"/>
    <w:rsid w:val="005B0286"/>
    <w:rsid w:val="005B17BF"/>
    <w:rsid w:val="005C0371"/>
    <w:rsid w:val="005C07FF"/>
    <w:rsid w:val="005C6545"/>
    <w:rsid w:val="005C769D"/>
    <w:rsid w:val="005D0D56"/>
    <w:rsid w:val="005D2F28"/>
    <w:rsid w:val="005D4B70"/>
    <w:rsid w:val="005D688E"/>
    <w:rsid w:val="005E7C93"/>
    <w:rsid w:val="005F3AA9"/>
    <w:rsid w:val="005F69B2"/>
    <w:rsid w:val="006079D9"/>
    <w:rsid w:val="00623A76"/>
    <w:rsid w:val="00632B7A"/>
    <w:rsid w:val="0063738F"/>
    <w:rsid w:val="00645161"/>
    <w:rsid w:val="00646D1D"/>
    <w:rsid w:val="00647CCD"/>
    <w:rsid w:val="0065035E"/>
    <w:rsid w:val="006531BE"/>
    <w:rsid w:val="00654702"/>
    <w:rsid w:val="006609D1"/>
    <w:rsid w:val="00663A28"/>
    <w:rsid w:val="006703C6"/>
    <w:rsid w:val="00673D32"/>
    <w:rsid w:val="00675FA5"/>
    <w:rsid w:val="00680338"/>
    <w:rsid w:val="00685391"/>
    <w:rsid w:val="00687BF9"/>
    <w:rsid w:val="00695453"/>
    <w:rsid w:val="00696994"/>
    <w:rsid w:val="006A057A"/>
    <w:rsid w:val="006A224D"/>
    <w:rsid w:val="006A74B9"/>
    <w:rsid w:val="006C3B26"/>
    <w:rsid w:val="006C7FCF"/>
    <w:rsid w:val="006E6C7D"/>
    <w:rsid w:val="006E6FBC"/>
    <w:rsid w:val="006F05CD"/>
    <w:rsid w:val="00701FAF"/>
    <w:rsid w:val="0071264B"/>
    <w:rsid w:val="00712B07"/>
    <w:rsid w:val="00713C36"/>
    <w:rsid w:val="007158BF"/>
    <w:rsid w:val="00716B6C"/>
    <w:rsid w:val="007179EC"/>
    <w:rsid w:val="00725B0B"/>
    <w:rsid w:val="007329E7"/>
    <w:rsid w:val="00732A9C"/>
    <w:rsid w:val="007423AA"/>
    <w:rsid w:val="0074413E"/>
    <w:rsid w:val="00746CF0"/>
    <w:rsid w:val="00750F70"/>
    <w:rsid w:val="0076464D"/>
    <w:rsid w:val="00766B99"/>
    <w:rsid w:val="00773289"/>
    <w:rsid w:val="0077425A"/>
    <w:rsid w:val="00775130"/>
    <w:rsid w:val="007753FF"/>
    <w:rsid w:val="007967D5"/>
    <w:rsid w:val="007A3A4B"/>
    <w:rsid w:val="007A7253"/>
    <w:rsid w:val="007B2AF3"/>
    <w:rsid w:val="007B6792"/>
    <w:rsid w:val="007C0E4E"/>
    <w:rsid w:val="007C2056"/>
    <w:rsid w:val="007C628D"/>
    <w:rsid w:val="007C7128"/>
    <w:rsid w:val="007D474B"/>
    <w:rsid w:val="007D4858"/>
    <w:rsid w:val="007D6AA3"/>
    <w:rsid w:val="007E077A"/>
    <w:rsid w:val="007E233D"/>
    <w:rsid w:val="00801A50"/>
    <w:rsid w:val="008036BC"/>
    <w:rsid w:val="0081079E"/>
    <w:rsid w:val="00810D5F"/>
    <w:rsid w:val="008136FC"/>
    <w:rsid w:val="00817819"/>
    <w:rsid w:val="0082068C"/>
    <w:rsid w:val="0082762F"/>
    <w:rsid w:val="00836ACB"/>
    <w:rsid w:val="00836BC9"/>
    <w:rsid w:val="008616F3"/>
    <w:rsid w:val="0087371C"/>
    <w:rsid w:val="008746F4"/>
    <w:rsid w:val="0088262B"/>
    <w:rsid w:val="00884E8C"/>
    <w:rsid w:val="00896B97"/>
    <w:rsid w:val="008A778B"/>
    <w:rsid w:val="008B578F"/>
    <w:rsid w:val="008D18D5"/>
    <w:rsid w:val="008D2E85"/>
    <w:rsid w:val="008E01E6"/>
    <w:rsid w:val="008E6AA4"/>
    <w:rsid w:val="009003F9"/>
    <w:rsid w:val="00904FFC"/>
    <w:rsid w:val="00907267"/>
    <w:rsid w:val="00911CF5"/>
    <w:rsid w:val="00914679"/>
    <w:rsid w:val="00921F9F"/>
    <w:rsid w:val="009222F9"/>
    <w:rsid w:val="00922657"/>
    <w:rsid w:val="00925456"/>
    <w:rsid w:val="00925E97"/>
    <w:rsid w:val="00932087"/>
    <w:rsid w:val="009443EE"/>
    <w:rsid w:val="00945168"/>
    <w:rsid w:val="00967DAE"/>
    <w:rsid w:val="009709A7"/>
    <w:rsid w:val="00976F33"/>
    <w:rsid w:val="00982403"/>
    <w:rsid w:val="00985A03"/>
    <w:rsid w:val="009944D9"/>
    <w:rsid w:val="00997504"/>
    <w:rsid w:val="009A018A"/>
    <w:rsid w:val="009A4E65"/>
    <w:rsid w:val="009B1029"/>
    <w:rsid w:val="009C4662"/>
    <w:rsid w:val="009D131A"/>
    <w:rsid w:val="009E668B"/>
    <w:rsid w:val="009F53E0"/>
    <w:rsid w:val="00A009FC"/>
    <w:rsid w:val="00A03263"/>
    <w:rsid w:val="00A0351C"/>
    <w:rsid w:val="00A10639"/>
    <w:rsid w:val="00A138B5"/>
    <w:rsid w:val="00A160E4"/>
    <w:rsid w:val="00A218AE"/>
    <w:rsid w:val="00A21BC2"/>
    <w:rsid w:val="00A2321C"/>
    <w:rsid w:val="00A25E25"/>
    <w:rsid w:val="00A37105"/>
    <w:rsid w:val="00A374C4"/>
    <w:rsid w:val="00A40D7C"/>
    <w:rsid w:val="00A411E4"/>
    <w:rsid w:val="00A46726"/>
    <w:rsid w:val="00A46944"/>
    <w:rsid w:val="00A63EA7"/>
    <w:rsid w:val="00A70198"/>
    <w:rsid w:val="00A71E0F"/>
    <w:rsid w:val="00A80013"/>
    <w:rsid w:val="00A86649"/>
    <w:rsid w:val="00A9405F"/>
    <w:rsid w:val="00A948A5"/>
    <w:rsid w:val="00A95545"/>
    <w:rsid w:val="00AA4F64"/>
    <w:rsid w:val="00AC1EF2"/>
    <w:rsid w:val="00AD64B6"/>
    <w:rsid w:val="00AE23CD"/>
    <w:rsid w:val="00AE3ADA"/>
    <w:rsid w:val="00AF6498"/>
    <w:rsid w:val="00B0423E"/>
    <w:rsid w:val="00B10180"/>
    <w:rsid w:val="00B1081B"/>
    <w:rsid w:val="00B11F2F"/>
    <w:rsid w:val="00B12950"/>
    <w:rsid w:val="00B12C30"/>
    <w:rsid w:val="00B207D8"/>
    <w:rsid w:val="00B21BF7"/>
    <w:rsid w:val="00B23E08"/>
    <w:rsid w:val="00B27B98"/>
    <w:rsid w:val="00B31FE3"/>
    <w:rsid w:val="00B34B2A"/>
    <w:rsid w:val="00B617A6"/>
    <w:rsid w:val="00B62173"/>
    <w:rsid w:val="00B64DA3"/>
    <w:rsid w:val="00B70FB6"/>
    <w:rsid w:val="00B7227F"/>
    <w:rsid w:val="00B73641"/>
    <w:rsid w:val="00B73BC2"/>
    <w:rsid w:val="00B77BB3"/>
    <w:rsid w:val="00B8009F"/>
    <w:rsid w:val="00B83858"/>
    <w:rsid w:val="00B8449F"/>
    <w:rsid w:val="00B84FB4"/>
    <w:rsid w:val="00B90DF2"/>
    <w:rsid w:val="00BA0157"/>
    <w:rsid w:val="00BA54DF"/>
    <w:rsid w:val="00BA6DAB"/>
    <w:rsid w:val="00BA75C1"/>
    <w:rsid w:val="00BB5303"/>
    <w:rsid w:val="00BC049E"/>
    <w:rsid w:val="00BC0884"/>
    <w:rsid w:val="00BC3D53"/>
    <w:rsid w:val="00BC5ECC"/>
    <w:rsid w:val="00BD0593"/>
    <w:rsid w:val="00BD0BBA"/>
    <w:rsid w:val="00BD0F49"/>
    <w:rsid w:val="00BE53B3"/>
    <w:rsid w:val="00BE76B6"/>
    <w:rsid w:val="00BE7BC7"/>
    <w:rsid w:val="00BF3289"/>
    <w:rsid w:val="00BF5383"/>
    <w:rsid w:val="00C05392"/>
    <w:rsid w:val="00C0614A"/>
    <w:rsid w:val="00C06664"/>
    <w:rsid w:val="00C14292"/>
    <w:rsid w:val="00C22527"/>
    <w:rsid w:val="00C2572D"/>
    <w:rsid w:val="00C338D9"/>
    <w:rsid w:val="00C33CD6"/>
    <w:rsid w:val="00C35737"/>
    <w:rsid w:val="00C36497"/>
    <w:rsid w:val="00C4346F"/>
    <w:rsid w:val="00C474F6"/>
    <w:rsid w:val="00C573FF"/>
    <w:rsid w:val="00C66746"/>
    <w:rsid w:val="00C66A02"/>
    <w:rsid w:val="00C7505A"/>
    <w:rsid w:val="00C82C9C"/>
    <w:rsid w:val="00C844C6"/>
    <w:rsid w:val="00C84832"/>
    <w:rsid w:val="00C90632"/>
    <w:rsid w:val="00C909AE"/>
    <w:rsid w:val="00C90F49"/>
    <w:rsid w:val="00C932EC"/>
    <w:rsid w:val="00CA1C22"/>
    <w:rsid w:val="00CB0CA0"/>
    <w:rsid w:val="00CB6704"/>
    <w:rsid w:val="00CB7C33"/>
    <w:rsid w:val="00CB7DFA"/>
    <w:rsid w:val="00CC2C86"/>
    <w:rsid w:val="00CC5BE9"/>
    <w:rsid w:val="00CF5C62"/>
    <w:rsid w:val="00CF7D67"/>
    <w:rsid w:val="00D01807"/>
    <w:rsid w:val="00D059F6"/>
    <w:rsid w:val="00D06CED"/>
    <w:rsid w:val="00D12155"/>
    <w:rsid w:val="00D16095"/>
    <w:rsid w:val="00D17EDC"/>
    <w:rsid w:val="00D22197"/>
    <w:rsid w:val="00D22478"/>
    <w:rsid w:val="00D37425"/>
    <w:rsid w:val="00D37772"/>
    <w:rsid w:val="00D41730"/>
    <w:rsid w:val="00D43E67"/>
    <w:rsid w:val="00D60334"/>
    <w:rsid w:val="00D637CA"/>
    <w:rsid w:val="00D6683B"/>
    <w:rsid w:val="00D91CBF"/>
    <w:rsid w:val="00D92668"/>
    <w:rsid w:val="00D92EBC"/>
    <w:rsid w:val="00D93F83"/>
    <w:rsid w:val="00D94044"/>
    <w:rsid w:val="00D97017"/>
    <w:rsid w:val="00DA3A9D"/>
    <w:rsid w:val="00DA7ED1"/>
    <w:rsid w:val="00DB1092"/>
    <w:rsid w:val="00DB15B9"/>
    <w:rsid w:val="00DB24C9"/>
    <w:rsid w:val="00DB28DA"/>
    <w:rsid w:val="00DD164E"/>
    <w:rsid w:val="00DD1C68"/>
    <w:rsid w:val="00DD2509"/>
    <w:rsid w:val="00DD373C"/>
    <w:rsid w:val="00DD6C34"/>
    <w:rsid w:val="00DD6FD6"/>
    <w:rsid w:val="00DE78DE"/>
    <w:rsid w:val="00DF0324"/>
    <w:rsid w:val="00DF5455"/>
    <w:rsid w:val="00E00C11"/>
    <w:rsid w:val="00E036DA"/>
    <w:rsid w:val="00E06342"/>
    <w:rsid w:val="00E135F6"/>
    <w:rsid w:val="00E350A5"/>
    <w:rsid w:val="00E40194"/>
    <w:rsid w:val="00E45403"/>
    <w:rsid w:val="00E50F62"/>
    <w:rsid w:val="00E516B2"/>
    <w:rsid w:val="00E533EE"/>
    <w:rsid w:val="00E57B38"/>
    <w:rsid w:val="00E634D5"/>
    <w:rsid w:val="00E91282"/>
    <w:rsid w:val="00E979B1"/>
    <w:rsid w:val="00EA1E1F"/>
    <w:rsid w:val="00EA37D2"/>
    <w:rsid w:val="00EB0418"/>
    <w:rsid w:val="00EB30BA"/>
    <w:rsid w:val="00EB564C"/>
    <w:rsid w:val="00EB71D0"/>
    <w:rsid w:val="00EC24B3"/>
    <w:rsid w:val="00EC2AFF"/>
    <w:rsid w:val="00ED2A8D"/>
    <w:rsid w:val="00EE3621"/>
    <w:rsid w:val="00EE4135"/>
    <w:rsid w:val="00EE4481"/>
    <w:rsid w:val="00EE4CD5"/>
    <w:rsid w:val="00EE56E3"/>
    <w:rsid w:val="00EE63EE"/>
    <w:rsid w:val="00EF5389"/>
    <w:rsid w:val="00F01FBD"/>
    <w:rsid w:val="00F11E22"/>
    <w:rsid w:val="00F1446F"/>
    <w:rsid w:val="00F17494"/>
    <w:rsid w:val="00F22222"/>
    <w:rsid w:val="00F23511"/>
    <w:rsid w:val="00F268A8"/>
    <w:rsid w:val="00F27A7C"/>
    <w:rsid w:val="00F4114D"/>
    <w:rsid w:val="00F42FDD"/>
    <w:rsid w:val="00F50ABD"/>
    <w:rsid w:val="00F528F7"/>
    <w:rsid w:val="00F63970"/>
    <w:rsid w:val="00F65BBF"/>
    <w:rsid w:val="00F66EB6"/>
    <w:rsid w:val="00F80032"/>
    <w:rsid w:val="00F8009B"/>
    <w:rsid w:val="00F82840"/>
    <w:rsid w:val="00F84E94"/>
    <w:rsid w:val="00F90439"/>
    <w:rsid w:val="00F91CEB"/>
    <w:rsid w:val="00F91D12"/>
    <w:rsid w:val="00F92E5B"/>
    <w:rsid w:val="00F93449"/>
    <w:rsid w:val="00F93ABE"/>
    <w:rsid w:val="00F95426"/>
    <w:rsid w:val="00F97705"/>
    <w:rsid w:val="00FB2865"/>
    <w:rsid w:val="00FB5156"/>
    <w:rsid w:val="00FC1C49"/>
    <w:rsid w:val="00FC4D29"/>
    <w:rsid w:val="00FD5E9D"/>
    <w:rsid w:val="00FF3A20"/>
    <w:rsid w:val="00FF675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744ED4"/>
  <w15:docId w15:val="{859AB012-5CAA-4502-9386-861FE3EFB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ar"/>
    <w:uiPriority w:val="9"/>
    <w:semiHidden/>
    <w:unhideWhenUsed/>
    <w:qFormat/>
    <w:rsid w:val="00F91C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9">
    <w:name w:val="heading 9"/>
    <w:basedOn w:val="Normal"/>
    <w:link w:val="Ttulo9Car"/>
    <w:uiPriority w:val="9"/>
    <w:qFormat/>
    <w:rsid w:val="00122A84"/>
    <w:pPr>
      <w:spacing w:before="100" w:beforeAutospacing="1" w:after="100" w:afterAutospacing="1" w:line="240" w:lineRule="auto"/>
      <w:outlineLvl w:val="8"/>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17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41730"/>
  </w:style>
  <w:style w:type="paragraph" w:styleId="Piedepgina">
    <w:name w:val="footer"/>
    <w:basedOn w:val="Normal"/>
    <w:link w:val="PiedepginaCar"/>
    <w:uiPriority w:val="99"/>
    <w:unhideWhenUsed/>
    <w:rsid w:val="00D417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41730"/>
  </w:style>
  <w:style w:type="paragraph" w:styleId="Textodeglobo">
    <w:name w:val="Balloon Text"/>
    <w:basedOn w:val="Normal"/>
    <w:link w:val="TextodegloboCar"/>
    <w:uiPriority w:val="99"/>
    <w:semiHidden/>
    <w:unhideWhenUsed/>
    <w:rsid w:val="00D4173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1730"/>
    <w:rPr>
      <w:rFonts w:ascii="Tahoma" w:hAnsi="Tahoma" w:cs="Tahoma"/>
      <w:sz w:val="16"/>
      <w:szCs w:val="16"/>
    </w:rPr>
  </w:style>
  <w:style w:type="paragraph" w:styleId="Prrafodelista">
    <w:name w:val="List Paragraph"/>
    <w:basedOn w:val="Normal"/>
    <w:uiPriority w:val="34"/>
    <w:qFormat/>
    <w:rsid w:val="00801A50"/>
    <w:pPr>
      <w:ind w:left="720"/>
      <w:contextualSpacing/>
    </w:pPr>
    <w:rPr>
      <w:rFonts w:ascii="Calibri" w:eastAsia="Calibri" w:hAnsi="Calibri" w:cs="Times New Roman"/>
      <w:lang w:val="es-CO"/>
    </w:rPr>
  </w:style>
  <w:style w:type="paragraph" w:styleId="NormalWeb">
    <w:name w:val="Normal (Web)"/>
    <w:basedOn w:val="Normal"/>
    <w:uiPriority w:val="99"/>
    <w:unhideWhenUsed/>
    <w:rsid w:val="00801A50"/>
    <w:rPr>
      <w:rFonts w:ascii="Times New Roman" w:eastAsia="Calibri" w:hAnsi="Times New Roman" w:cs="Times New Roman"/>
      <w:sz w:val="24"/>
      <w:szCs w:val="24"/>
      <w:lang w:val="es-CO"/>
    </w:rPr>
  </w:style>
  <w:style w:type="paragraph" w:styleId="Sinespaciado">
    <w:name w:val="No Spacing"/>
    <w:link w:val="SinespaciadoCar"/>
    <w:uiPriority w:val="1"/>
    <w:qFormat/>
    <w:rsid w:val="00801A50"/>
    <w:pPr>
      <w:spacing w:after="0" w:line="240" w:lineRule="auto"/>
    </w:pPr>
    <w:rPr>
      <w:rFonts w:ascii="Calibri" w:eastAsia="Calibri" w:hAnsi="Calibri" w:cs="Times New Roman"/>
    </w:rPr>
  </w:style>
  <w:style w:type="paragraph" w:customStyle="1" w:styleId="Default">
    <w:name w:val="Default"/>
    <w:rsid w:val="00801A50"/>
    <w:pPr>
      <w:autoSpaceDE w:val="0"/>
      <w:autoSpaceDN w:val="0"/>
      <w:adjustRightInd w:val="0"/>
      <w:spacing w:after="0" w:line="240" w:lineRule="auto"/>
    </w:pPr>
    <w:rPr>
      <w:rFonts w:ascii="Trebuchet MS" w:eastAsia="Calibri" w:hAnsi="Trebuchet MS" w:cs="Trebuchet MS"/>
      <w:color w:val="000000"/>
      <w:sz w:val="24"/>
      <w:szCs w:val="24"/>
      <w:lang w:val="es-CO" w:eastAsia="es-CO"/>
    </w:rPr>
  </w:style>
  <w:style w:type="character" w:styleId="Textoennegrita">
    <w:name w:val="Strong"/>
    <w:uiPriority w:val="22"/>
    <w:qFormat/>
    <w:rsid w:val="00801A50"/>
    <w:rPr>
      <w:b/>
      <w:bCs/>
    </w:rPr>
  </w:style>
  <w:style w:type="character" w:styleId="Hipervnculo">
    <w:name w:val="Hyperlink"/>
    <w:basedOn w:val="Fuentedeprrafopredeter"/>
    <w:uiPriority w:val="99"/>
    <w:unhideWhenUsed/>
    <w:rsid w:val="00801A50"/>
    <w:rPr>
      <w:color w:val="0000FF"/>
      <w:u w:val="single"/>
    </w:rPr>
  </w:style>
  <w:style w:type="paragraph" w:styleId="Textonotapie">
    <w:name w:val="footnote text"/>
    <w:aliases w:val="texto de nota al pie,Nota a pie/Bibliog,Texto nota pie Car1,Texto nota pie Car Car,texto de nota al pie Car Car,ft Car Car Car,Texto nota pie Car1 Car,Texto nota pie Car Car Car,texto de nota al pie Car Car Car Car, Car,ft,Car"/>
    <w:basedOn w:val="Normal"/>
    <w:link w:val="TextonotapieCar"/>
    <w:uiPriority w:val="99"/>
    <w:unhideWhenUsed/>
    <w:qFormat/>
    <w:rsid w:val="00801A50"/>
    <w:pPr>
      <w:spacing w:after="0" w:line="240" w:lineRule="auto"/>
    </w:pPr>
    <w:rPr>
      <w:sz w:val="20"/>
      <w:szCs w:val="20"/>
      <w:lang w:val="es-CO"/>
    </w:rPr>
  </w:style>
  <w:style w:type="character" w:customStyle="1" w:styleId="TextonotapieCar">
    <w:name w:val="Texto nota pie Car"/>
    <w:aliases w:val="texto de nota al pie Car,Nota a pie/Bibliog Car,Texto nota pie Car1 Car1,Texto nota pie Car Car Car1,texto de nota al pie Car Car Car,ft Car Car Car Car,Texto nota pie Car1 Car Car,Texto nota pie Car Car Car Car, Car Car,ft Car"/>
    <w:basedOn w:val="Fuentedeprrafopredeter"/>
    <w:link w:val="Textonotapie"/>
    <w:uiPriority w:val="99"/>
    <w:rsid w:val="00801A50"/>
    <w:rPr>
      <w:sz w:val="20"/>
      <w:szCs w:val="20"/>
      <w:lang w:val="es-CO"/>
    </w:rPr>
  </w:style>
  <w:style w:type="character" w:styleId="Refdenotaalpie">
    <w:name w:val="footnote reference"/>
    <w:aliases w:val="referencia nota al pie,Appel note de bas de page,Texto de nota al pie,Footnotes refss,titulo 2,Nota de pie,BVI fnr,Footnote symbol,Footnote,Ref. de nota al pie2,Ref,de nota al pie,Pie de pagina,Ref. ...,Ref1,FC,Footnote number,f,4_G"/>
    <w:basedOn w:val="Fuentedeprrafopredeter"/>
    <w:uiPriority w:val="99"/>
    <w:unhideWhenUsed/>
    <w:qFormat/>
    <w:rsid w:val="00801A50"/>
    <w:rPr>
      <w:vertAlign w:val="superscript"/>
    </w:rPr>
  </w:style>
  <w:style w:type="paragraph" w:customStyle="1" w:styleId="Pa18">
    <w:name w:val="Pa18"/>
    <w:basedOn w:val="Normal"/>
    <w:next w:val="Normal"/>
    <w:uiPriority w:val="99"/>
    <w:rsid w:val="00801A50"/>
    <w:pPr>
      <w:autoSpaceDE w:val="0"/>
      <w:autoSpaceDN w:val="0"/>
      <w:adjustRightInd w:val="0"/>
      <w:spacing w:after="0" w:line="221" w:lineRule="atLeast"/>
    </w:pPr>
    <w:rPr>
      <w:rFonts w:ascii="Palatino Linotype" w:hAnsi="Palatino Linotype"/>
      <w:sz w:val="24"/>
      <w:szCs w:val="24"/>
      <w:lang w:val="es-CO"/>
    </w:rPr>
  </w:style>
  <w:style w:type="paragraph" w:customStyle="1" w:styleId="Pa14">
    <w:name w:val="Pa14"/>
    <w:basedOn w:val="Normal"/>
    <w:next w:val="Normal"/>
    <w:uiPriority w:val="99"/>
    <w:rsid w:val="00801A50"/>
    <w:pPr>
      <w:autoSpaceDE w:val="0"/>
      <w:autoSpaceDN w:val="0"/>
      <w:adjustRightInd w:val="0"/>
      <w:spacing w:after="0" w:line="221" w:lineRule="atLeast"/>
    </w:pPr>
    <w:rPr>
      <w:rFonts w:ascii="Palatino Linotype" w:hAnsi="Palatino Linotype"/>
      <w:sz w:val="24"/>
      <w:szCs w:val="24"/>
      <w:lang w:val="es-CO"/>
    </w:rPr>
  </w:style>
  <w:style w:type="character" w:styleId="Refdecomentario">
    <w:name w:val="annotation reference"/>
    <w:basedOn w:val="Fuentedeprrafopredeter"/>
    <w:uiPriority w:val="99"/>
    <w:semiHidden/>
    <w:unhideWhenUsed/>
    <w:rsid w:val="00BB5303"/>
    <w:rPr>
      <w:sz w:val="16"/>
      <w:szCs w:val="16"/>
    </w:rPr>
  </w:style>
  <w:style w:type="paragraph" w:styleId="Textocomentario">
    <w:name w:val="annotation text"/>
    <w:basedOn w:val="Normal"/>
    <w:link w:val="TextocomentarioCar"/>
    <w:uiPriority w:val="99"/>
    <w:semiHidden/>
    <w:unhideWhenUsed/>
    <w:rsid w:val="00BB5303"/>
    <w:pPr>
      <w:spacing w:line="240" w:lineRule="auto"/>
    </w:pPr>
    <w:rPr>
      <w:sz w:val="20"/>
      <w:szCs w:val="20"/>
      <w:lang w:val="es-CO"/>
    </w:rPr>
  </w:style>
  <w:style w:type="character" w:customStyle="1" w:styleId="TextocomentarioCar">
    <w:name w:val="Texto comentario Car"/>
    <w:basedOn w:val="Fuentedeprrafopredeter"/>
    <w:link w:val="Textocomentario"/>
    <w:uiPriority w:val="99"/>
    <w:semiHidden/>
    <w:rsid w:val="00BB5303"/>
    <w:rPr>
      <w:sz w:val="20"/>
      <w:szCs w:val="20"/>
      <w:lang w:val="es-CO"/>
    </w:rPr>
  </w:style>
  <w:style w:type="character" w:customStyle="1" w:styleId="apple-converted-space">
    <w:name w:val="apple-converted-space"/>
    <w:basedOn w:val="Fuentedeprrafopredeter"/>
    <w:rsid w:val="006703C6"/>
  </w:style>
  <w:style w:type="table" w:styleId="Tablaconcuadrcula">
    <w:name w:val="Table Grid"/>
    <w:basedOn w:val="Tablanormal"/>
    <w:uiPriority w:val="39"/>
    <w:rsid w:val="00F42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Fuentedeprrafopredeter"/>
    <w:rsid w:val="00393C3C"/>
  </w:style>
  <w:style w:type="character" w:customStyle="1" w:styleId="Ttulo9Car">
    <w:name w:val="Título 9 Car"/>
    <w:basedOn w:val="Fuentedeprrafopredeter"/>
    <w:link w:val="Ttulo9"/>
    <w:uiPriority w:val="9"/>
    <w:rsid w:val="00122A84"/>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122A8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uiPriority w:val="99"/>
    <w:semiHidden/>
    <w:rsid w:val="00122A84"/>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C90632"/>
    <w:pPr>
      <w:spacing w:after="120" w:line="480" w:lineRule="auto"/>
    </w:pPr>
  </w:style>
  <w:style w:type="character" w:customStyle="1" w:styleId="Textoindependiente2Car">
    <w:name w:val="Texto independiente 2 Car"/>
    <w:basedOn w:val="Fuentedeprrafopredeter"/>
    <w:link w:val="Textoindependiente2"/>
    <w:uiPriority w:val="99"/>
    <w:semiHidden/>
    <w:rsid w:val="00C90632"/>
  </w:style>
  <w:style w:type="paragraph" w:customStyle="1" w:styleId="Estilo1">
    <w:name w:val="Estilo1"/>
    <w:basedOn w:val="Sinespaciado"/>
    <w:qFormat/>
    <w:rsid w:val="002035ED"/>
    <w:pPr>
      <w:jc w:val="both"/>
    </w:pPr>
    <w:rPr>
      <w:rFonts w:ascii="Arial" w:hAnsi="Arial" w:cs="Arial"/>
      <w:color w:val="2D2D2D"/>
      <w:sz w:val="24"/>
      <w:szCs w:val="24"/>
      <w:bdr w:val="none" w:sz="0" w:space="0" w:color="auto" w:frame="1"/>
      <w:lang w:val="es-CO"/>
    </w:rPr>
  </w:style>
  <w:style w:type="character" w:styleId="Hipervnculovisitado">
    <w:name w:val="FollowedHyperlink"/>
    <w:basedOn w:val="Fuentedeprrafopredeter"/>
    <w:uiPriority w:val="99"/>
    <w:semiHidden/>
    <w:unhideWhenUsed/>
    <w:rsid w:val="00A37105"/>
    <w:rPr>
      <w:color w:val="800080" w:themeColor="followedHyperlink"/>
      <w:u w:val="single"/>
    </w:rPr>
  </w:style>
  <w:style w:type="paragraph" w:styleId="Lista">
    <w:name w:val="List"/>
    <w:basedOn w:val="Normal"/>
    <w:rsid w:val="00033018"/>
    <w:pPr>
      <w:spacing w:after="0" w:line="240" w:lineRule="auto"/>
      <w:ind w:left="283" w:hanging="283"/>
      <w:jc w:val="both"/>
    </w:pPr>
    <w:rPr>
      <w:rFonts w:ascii="Times New Roman" w:eastAsia="Times New Roman" w:hAnsi="Times New Roman" w:cs="Times New Roman"/>
      <w:sz w:val="20"/>
      <w:szCs w:val="20"/>
      <w:lang w:val="es-ES_tradnl" w:eastAsia="es-ES"/>
    </w:rPr>
  </w:style>
  <w:style w:type="paragraph" w:customStyle="1" w:styleId="yiv4300203603msonormal">
    <w:name w:val="yiv4300203603msonormal"/>
    <w:basedOn w:val="Normal"/>
    <w:rsid w:val="00A4672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DB15B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B15B9"/>
    <w:rPr>
      <w:sz w:val="20"/>
      <w:szCs w:val="20"/>
    </w:rPr>
  </w:style>
  <w:style w:type="character" w:styleId="Refdenotaalfinal">
    <w:name w:val="endnote reference"/>
    <w:basedOn w:val="Fuentedeprrafopredeter"/>
    <w:uiPriority w:val="99"/>
    <w:semiHidden/>
    <w:unhideWhenUsed/>
    <w:rsid w:val="00DB15B9"/>
    <w:rPr>
      <w:vertAlign w:val="superscript"/>
    </w:rPr>
  </w:style>
  <w:style w:type="character" w:customStyle="1" w:styleId="spelle">
    <w:name w:val="spelle"/>
    <w:basedOn w:val="Fuentedeprrafopredeter"/>
    <w:rsid w:val="00DB24C9"/>
  </w:style>
  <w:style w:type="character" w:customStyle="1" w:styleId="Ttulo3Car">
    <w:name w:val="Título 3 Car"/>
    <w:basedOn w:val="Fuentedeprrafopredeter"/>
    <w:link w:val="Ttulo3"/>
    <w:uiPriority w:val="9"/>
    <w:semiHidden/>
    <w:rsid w:val="00F91CEB"/>
    <w:rPr>
      <w:rFonts w:asciiTheme="majorHAnsi" w:eastAsiaTheme="majorEastAsia" w:hAnsiTheme="majorHAnsi" w:cstheme="majorBidi"/>
      <w:color w:val="243F60" w:themeColor="accent1" w:themeShade="7F"/>
      <w:sz w:val="24"/>
      <w:szCs w:val="24"/>
    </w:rPr>
  </w:style>
  <w:style w:type="paragraph" w:customStyle="1" w:styleId="ecxmsonormal">
    <w:name w:val="ecxmsonormal"/>
    <w:basedOn w:val="Normal"/>
    <w:rsid w:val="00B70FB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inespaciadoCar">
    <w:name w:val="Sin espaciado Car"/>
    <w:link w:val="Sinespaciado"/>
    <w:uiPriority w:val="1"/>
    <w:locked/>
    <w:rsid w:val="001D4D8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732">
      <w:bodyDiv w:val="1"/>
      <w:marLeft w:val="0"/>
      <w:marRight w:val="0"/>
      <w:marTop w:val="0"/>
      <w:marBottom w:val="0"/>
      <w:divBdr>
        <w:top w:val="none" w:sz="0" w:space="0" w:color="auto"/>
        <w:left w:val="none" w:sz="0" w:space="0" w:color="auto"/>
        <w:bottom w:val="none" w:sz="0" w:space="0" w:color="auto"/>
        <w:right w:val="none" w:sz="0" w:space="0" w:color="auto"/>
      </w:divBdr>
    </w:div>
    <w:div w:id="10374263">
      <w:bodyDiv w:val="1"/>
      <w:marLeft w:val="0"/>
      <w:marRight w:val="0"/>
      <w:marTop w:val="0"/>
      <w:marBottom w:val="0"/>
      <w:divBdr>
        <w:top w:val="none" w:sz="0" w:space="0" w:color="auto"/>
        <w:left w:val="none" w:sz="0" w:space="0" w:color="auto"/>
        <w:bottom w:val="none" w:sz="0" w:space="0" w:color="auto"/>
        <w:right w:val="none" w:sz="0" w:space="0" w:color="auto"/>
      </w:divBdr>
    </w:div>
    <w:div w:id="40638710">
      <w:bodyDiv w:val="1"/>
      <w:marLeft w:val="0"/>
      <w:marRight w:val="0"/>
      <w:marTop w:val="0"/>
      <w:marBottom w:val="0"/>
      <w:divBdr>
        <w:top w:val="none" w:sz="0" w:space="0" w:color="auto"/>
        <w:left w:val="none" w:sz="0" w:space="0" w:color="auto"/>
        <w:bottom w:val="none" w:sz="0" w:space="0" w:color="auto"/>
        <w:right w:val="none" w:sz="0" w:space="0" w:color="auto"/>
      </w:divBdr>
    </w:div>
    <w:div w:id="41909950">
      <w:bodyDiv w:val="1"/>
      <w:marLeft w:val="0"/>
      <w:marRight w:val="0"/>
      <w:marTop w:val="0"/>
      <w:marBottom w:val="0"/>
      <w:divBdr>
        <w:top w:val="none" w:sz="0" w:space="0" w:color="auto"/>
        <w:left w:val="none" w:sz="0" w:space="0" w:color="auto"/>
        <w:bottom w:val="none" w:sz="0" w:space="0" w:color="auto"/>
        <w:right w:val="none" w:sz="0" w:space="0" w:color="auto"/>
      </w:divBdr>
    </w:div>
    <w:div w:id="219677657">
      <w:bodyDiv w:val="1"/>
      <w:marLeft w:val="0"/>
      <w:marRight w:val="0"/>
      <w:marTop w:val="0"/>
      <w:marBottom w:val="0"/>
      <w:divBdr>
        <w:top w:val="none" w:sz="0" w:space="0" w:color="auto"/>
        <w:left w:val="none" w:sz="0" w:space="0" w:color="auto"/>
        <w:bottom w:val="none" w:sz="0" w:space="0" w:color="auto"/>
        <w:right w:val="none" w:sz="0" w:space="0" w:color="auto"/>
      </w:divBdr>
    </w:div>
    <w:div w:id="281570186">
      <w:bodyDiv w:val="1"/>
      <w:marLeft w:val="0"/>
      <w:marRight w:val="0"/>
      <w:marTop w:val="0"/>
      <w:marBottom w:val="0"/>
      <w:divBdr>
        <w:top w:val="none" w:sz="0" w:space="0" w:color="auto"/>
        <w:left w:val="none" w:sz="0" w:space="0" w:color="auto"/>
        <w:bottom w:val="none" w:sz="0" w:space="0" w:color="auto"/>
        <w:right w:val="none" w:sz="0" w:space="0" w:color="auto"/>
      </w:divBdr>
    </w:div>
    <w:div w:id="287711194">
      <w:bodyDiv w:val="1"/>
      <w:marLeft w:val="0"/>
      <w:marRight w:val="0"/>
      <w:marTop w:val="0"/>
      <w:marBottom w:val="0"/>
      <w:divBdr>
        <w:top w:val="none" w:sz="0" w:space="0" w:color="auto"/>
        <w:left w:val="none" w:sz="0" w:space="0" w:color="auto"/>
        <w:bottom w:val="none" w:sz="0" w:space="0" w:color="auto"/>
        <w:right w:val="none" w:sz="0" w:space="0" w:color="auto"/>
      </w:divBdr>
    </w:div>
    <w:div w:id="315761700">
      <w:bodyDiv w:val="1"/>
      <w:marLeft w:val="0"/>
      <w:marRight w:val="0"/>
      <w:marTop w:val="0"/>
      <w:marBottom w:val="0"/>
      <w:divBdr>
        <w:top w:val="none" w:sz="0" w:space="0" w:color="auto"/>
        <w:left w:val="none" w:sz="0" w:space="0" w:color="auto"/>
        <w:bottom w:val="none" w:sz="0" w:space="0" w:color="auto"/>
        <w:right w:val="none" w:sz="0" w:space="0" w:color="auto"/>
      </w:divBdr>
    </w:div>
    <w:div w:id="355272805">
      <w:bodyDiv w:val="1"/>
      <w:marLeft w:val="0"/>
      <w:marRight w:val="0"/>
      <w:marTop w:val="0"/>
      <w:marBottom w:val="0"/>
      <w:divBdr>
        <w:top w:val="none" w:sz="0" w:space="0" w:color="auto"/>
        <w:left w:val="none" w:sz="0" w:space="0" w:color="auto"/>
        <w:bottom w:val="none" w:sz="0" w:space="0" w:color="auto"/>
        <w:right w:val="none" w:sz="0" w:space="0" w:color="auto"/>
      </w:divBdr>
    </w:div>
    <w:div w:id="389307814">
      <w:bodyDiv w:val="1"/>
      <w:marLeft w:val="0"/>
      <w:marRight w:val="0"/>
      <w:marTop w:val="0"/>
      <w:marBottom w:val="0"/>
      <w:divBdr>
        <w:top w:val="none" w:sz="0" w:space="0" w:color="auto"/>
        <w:left w:val="none" w:sz="0" w:space="0" w:color="auto"/>
        <w:bottom w:val="none" w:sz="0" w:space="0" w:color="auto"/>
        <w:right w:val="none" w:sz="0" w:space="0" w:color="auto"/>
      </w:divBdr>
    </w:div>
    <w:div w:id="392974897">
      <w:bodyDiv w:val="1"/>
      <w:marLeft w:val="0"/>
      <w:marRight w:val="0"/>
      <w:marTop w:val="0"/>
      <w:marBottom w:val="0"/>
      <w:divBdr>
        <w:top w:val="none" w:sz="0" w:space="0" w:color="auto"/>
        <w:left w:val="none" w:sz="0" w:space="0" w:color="auto"/>
        <w:bottom w:val="none" w:sz="0" w:space="0" w:color="auto"/>
        <w:right w:val="none" w:sz="0" w:space="0" w:color="auto"/>
      </w:divBdr>
    </w:div>
    <w:div w:id="468018584">
      <w:bodyDiv w:val="1"/>
      <w:marLeft w:val="0"/>
      <w:marRight w:val="0"/>
      <w:marTop w:val="0"/>
      <w:marBottom w:val="0"/>
      <w:divBdr>
        <w:top w:val="none" w:sz="0" w:space="0" w:color="auto"/>
        <w:left w:val="none" w:sz="0" w:space="0" w:color="auto"/>
        <w:bottom w:val="none" w:sz="0" w:space="0" w:color="auto"/>
        <w:right w:val="none" w:sz="0" w:space="0" w:color="auto"/>
      </w:divBdr>
    </w:div>
    <w:div w:id="472793868">
      <w:bodyDiv w:val="1"/>
      <w:marLeft w:val="0"/>
      <w:marRight w:val="0"/>
      <w:marTop w:val="0"/>
      <w:marBottom w:val="0"/>
      <w:divBdr>
        <w:top w:val="none" w:sz="0" w:space="0" w:color="auto"/>
        <w:left w:val="none" w:sz="0" w:space="0" w:color="auto"/>
        <w:bottom w:val="none" w:sz="0" w:space="0" w:color="auto"/>
        <w:right w:val="none" w:sz="0" w:space="0" w:color="auto"/>
      </w:divBdr>
    </w:div>
    <w:div w:id="497891778">
      <w:bodyDiv w:val="1"/>
      <w:marLeft w:val="0"/>
      <w:marRight w:val="0"/>
      <w:marTop w:val="0"/>
      <w:marBottom w:val="0"/>
      <w:divBdr>
        <w:top w:val="none" w:sz="0" w:space="0" w:color="auto"/>
        <w:left w:val="none" w:sz="0" w:space="0" w:color="auto"/>
        <w:bottom w:val="none" w:sz="0" w:space="0" w:color="auto"/>
        <w:right w:val="none" w:sz="0" w:space="0" w:color="auto"/>
      </w:divBdr>
    </w:div>
    <w:div w:id="554392985">
      <w:bodyDiv w:val="1"/>
      <w:marLeft w:val="0"/>
      <w:marRight w:val="0"/>
      <w:marTop w:val="0"/>
      <w:marBottom w:val="0"/>
      <w:divBdr>
        <w:top w:val="none" w:sz="0" w:space="0" w:color="auto"/>
        <w:left w:val="none" w:sz="0" w:space="0" w:color="auto"/>
        <w:bottom w:val="none" w:sz="0" w:space="0" w:color="auto"/>
        <w:right w:val="none" w:sz="0" w:space="0" w:color="auto"/>
      </w:divBdr>
    </w:div>
    <w:div w:id="622344971">
      <w:bodyDiv w:val="1"/>
      <w:marLeft w:val="0"/>
      <w:marRight w:val="0"/>
      <w:marTop w:val="0"/>
      <w:marBottom w:val="0"/>
      <w:divBdr>
        <w:top w:val="none" w:sz="0" w:space="0" w:color="auto"/>
        <w:left w:val="none" w:sz="0" w:space="0" w:color="auto"/>
        <w:bottom w:val="none" w:sz="0" w:space="0" w:color="auto"/>
        <w:right w:val="none" w:sz="0" w:space="0" w:color="auto"/>
      </w:divBdr>
    </w:div>
    <w:div w:id="760640624">
      <w:bodyDiv w:val="1"/>
      <w:marLeft w:val="0"/>
      <w:marRight w:val="0"/>
      <w:marTop w:val="0"/>
      <w:marBottom w:val="0"/>
      <w:divBdr>
        <w:top w:val="none" w:sz="0" w:space="0" w:color="auto"/>
        <w:left w:val="none" w:sz="0" w:space="0" w:color="auto"/>
        <w:bottom w:val="none" w:sz="0" w:space="0" w:color="auto"/>
        <w:right w:val="none" w:sz="0" w:space="0" w:color="auto"/>
      </w:divBdr>
    </w:div>
    <w:div w:id="866455062">
      <w:bodyDiv w:val="1"/>
      <w:marLeft w:val="0"/>
      <w:marRight w:val="0"/>
      <w:marTop w:val="0"/>
      <w:marBottom w:val="0"/>
      <w:divBdr>
        <w:top w:val="none" w:sz="0" w:space="0" w:color="auto"/>
        <w:left w:val="none" w:sz="0" w:space="0" w:color="auto"/>
        <w:bottom w:val="none" w:sz="0" w:space="0" w:color="auto"/>
        <w:right w:val="none" w:sz="0" w:space="0" w:color="auto"/>
      </w:divBdr>
    </w:div>
    <w:div w:id="979846117">
      <w:bodyDiv w:val="1"/>
      <w:marLeft w:val="0"/>
      <w:marRight w:val="0"/>
      <w:marTop w:val="0"/>
      <w:marBottom w:val="0"/>
      <w:divBdr>
        <w:top w:val="none" w:sz="0" w:space="0" w:color="auto"/>
        <w:left w:val="none" w:sz="0" w:space="0" w:color="auto"/>
        <w:bottom w:val="none" w:sz="0" w:space="0" w:color="auto"/>
        <w:right w:val="none" w:sz="0" w:space="0" w:color="auto"/>
      </w:divBdr>
    </w:div>
    <w:div w:id="1155997490">
      <w:bodyDiv w:val="1"/>
      <w:marLeft w:val="0"/>
      <w:marRight w:val="0"/>
      <w:marTop w:val="0"/>
      <w:marBottom w:val="0"/>
      <w:divBdr>
        <w:top w:val="none" w:sz="0" w:space="0" w:color="auto"/>
        <w:left w:val="none" w:sz="0" w:space="0" w:color="auto"/>
        <w:bottom w:val="none" w:sz="0" w:space="0" w:color="auto"/>
        <w:right w:val="none" w:sz="0" w:space="0" w:color="auto"/>
      </w:divBdr>
    </w:div>
    <w:div w:id="1159542072">
      <w:bodyDiv w:val="1"/>
      <w:marLeft w:val="0"/>
      <w:marRight w:val="0"/>
      <w:marTop w:val="0"/>
      <w:marBottom w:val="0"/>
      <w:divBdr>
        <w:top w:val="none" w:sz="0" w:space="0" w:color="auto"/>
        <w:left w:val="none" w:sz="0" w:space="0" w:color="auto"/>
        <w:bottom w:val="none" w:sz="0" w:space="0" w:color="auto"/>
        <w:right w:val="none" w:sz="0" w:space="0" w:color="auto"/>
      </w:divBdr>
    </w:div>
    <w:div w:id="1166364922">
      <w:bodyDiv w:val="1"/>
      <w:marLeft w:val="0"/>
      <w:marRight w:val="0"/>
      <w:marTop w:val="0"/>
      <w:marBottom w:val="0"/>
      <w:divBdr>
        <w:top w:val="none" w:sz="0" w:space="0" w:color="auto"/>
        <w:left w:val="none" w:sz="0" w:space="0" w:color="auto"/>
        <w:bottom w:val="none" w:sz="0" w:space="0" w:color="auto"/>
        <w:right w:val="none" w:sz="0" w:space="0" w:color="auto"/>
      </w:divBdr>
      <w:divsChild>
        <w:div w:id="2069723890">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 w:id="1197159873">
      <w:bodyDiv w:val="1"/>
      <w:marLeft w:val="0"/>
      <w:marRight w:val="0"/>
      <w:marTop w:val="0"/>
      <w:marBottom w:val="0"/>
      <w:divBdr>
        <w:top w:val="none" w:sz="0" w:space="0" w:color="auto"/>
        <w:left w:val="none" w:sz="0" w:space="0" w:color="auto"/>
        <w:bottom w:val="none" w:sz="0" w:space="0" w:color="auto"/>
        <w:right w:val="none" w:sz="0" w:space="0" w:color="auto"/>
      </w:divBdr>
    </w:div>
    <w:div w:id="1259406461">
      <w:bodyDiv w:val="1"/>
      <w:marLeft w:val="0"/>
      <w:marRight w:val="0"/>
      <w:marTop w:val="0"/>
      <w:marBottom w:val="0"/>
      <w:divBdr>
        <w:top w:val="none" w:sz="0" w:space="0" w:color="auto"/>
        <w:left w:val="none" w:sz="0" w:space="0" w:color="auto"/>
        <w:bottom w:val="none" w:sz="0" w:space="0" w:color="auto"/>
        <w:right w:val="none" w:sz="0" w:space="0" w:color="auto"/>
      </w:divBdr>
    </w:div>
    <w:div w:id="1333533849">
      <w:bodyDiv w:val="1"/>
      <w:marLeft w:val="0"/>
      <w:marRight w:val="0"/>
      <w:marTop w:val="0"/>
      <w:marBottom w:val="0"/>
      <w:divBdr>
        <w:top w:val="none" w:sz="0" w:space="0" w:color="auto"/>
        <w:left w:val="none" w:sz="0" w:space="0" w:color="auto"/>
        <w:bottom w:val="none" w:sz="0" w:space="0" w:color="auto"/>
        <w:right w:val="none" w:sz="0" w:space="0" w:color="auto"/>
      </w:divBdr>
    </w:div>
    <w:div w:id="1371371487">
      <w:bodyDiv w:val="1"/>
      <w:marLeft w:val="0"/>
      <w:marRight w:val="0"/>
      <w:marTop w:val="0"/>
      <w:marBottom w:val="0"/>
      <w:divBdr>
        <w:top w:val="none" w:sz="0" w:space="0" w:color="auto"/>
        <w:left w:val="none" w:sz="0" w:space="0" w:color="auto"/>
        <w:bottom w:val="none" w:sz="0" w:space="0" w:color="auto"/>
        <w:right w:val="none" w:sz="0" w:space="0" w:color="auto"/>
      </w:divBdr>
    </w:div>
    <w:div w:id="1448087193">
      <w:bodyDiv w:val="1"/>
      <w:marLeft w:val="0"/>
      <w:marRight w:val="0"/>
      <w:marTop w:val="0"/>
      <w:marBottom w:val="0"/>
      <w:divBdr>
        <w:top w:val="none" w:sz="0" w:space="0" w:color="auto"/>
        <w:left w:val="none" w:sz="0" w:space="0" w:color="auto"/>
        <w:bottom w:val="none" w:sz="0" w:space="0" w:color="auto"/>
        <w:right w:val="none" w:sz="0" w:space="0" w:color="auto"/>
      </w:divBdr>
    </w:div>
    <w:div w:id="1488671974">
      <w:bodyDiv w:val="1"/>
      <w:marLeft w:val="0"/>
      <w:marRight w:val="0"/>
      <w:marTop w:val="0"/>
      <w:marBottom w:val="0"/>
      <w:divBdr>
        <w:top w:val="none" w:sz="0" w:space="0" w:color="auto"/>
        <w:left w:val="none" w:sz="0" w:space="0" w:color="auto"/>
        <w:bottom w:val="none" w:sz="0" w:space="0" w:color="auto"/>
        <w:right w:val="none" w:sz="0" w:space="0" w:color="auto"/>
      </w:divBdr>
    </w:div>
    <w:div w:id="1490712066">
      <w:bodyDiv w:val="1"/>
      <w:marLeft w:val="0"/>
      <w:marRight w:val="0"/>
      <w:marTop w:val="0"/>
      <w:marBottom w:val="0"/>
      <w:divBdr>
        <w:top w:val="none" w:sz="0" w:space="0" w:color="auto"/>
        <w:left w:val="none" w:sz="0" w:space="0" w:color="auto"/>
        <w:bottom w:val="none" w:sz="0" w:space="0" w:color="auto"/>
        <w:right w:val="none" w:sz="0" w:space="0" w:color="auto"/>
      </w:divBdr>
    </w:div>
    <w:div w:id="1571110138">
      <w:bodyDiv w:val="1"/>
      <w:marLeft w:val="0"/>
      <w:marRight w:val="0"/>
      <w:marTop w:val="0"/>
      <w:marBottom w:val="0"/>
      <w:divBdr>
        <w:top w:val="none" w:sz="0" w:space="0" w:color="auto"/>
        <w:left w:val="none" w:sz="0" w:space="0" w:color="auto"/>
        <w:bottom w:val="none" w:sz="0" w:space="0" w:color="auto"/>
        <w:right w:val="none" w:sz="0" w:space="0" w:color="auto"/>
      </w:divBdr>
    </w:div>
    <w:div w:id="1698237636">
      <w:bodyDiv w:val="1"/>
      <w:marLeft w:val="0"/>
      <w:marRight w:val="0"/>
      <w:marTop w:val="0"/>
      <w:marBottom w:val="0"/>
      <w:divBdr>
        <w:top w:val="none" w:sz="0" w:space="0" w:color="auto"/>
        <w:left w:val="none" w:sz="0" w:space="0" w:color="auto"/>
        <w:bottom w:val="none" w:sz="0" w:space="0" w:color="auto"/>
        <w:right w:val="none" w:sz="0" w:space="0" w:color="auto"/>
      </w:divBdr>
    </w:div>
    <w:div w:id="1703166486">
      <w:bodyDiv w:val="1"/>
      <w:marLeft w:val="0"/>
      <w:marRight w:val="0"/>
      <w:marTop w:val="0"/>
      <w:marBottom w:val="0"/>
      <w:divBdr>
        <w:top w:val="none" w:sz="0" w:space="0" w:color="auto"/>
        <w:left w:val="none" w:sz="0" w:space="0" w:color="auto"/>
        <w:bottom w:val="none" w:sz="0" w:space="0" w:color="auto"/>
        <w:right w:val="none" w:sz="0" w:space="0" w:color="auto"/>
      </w:divBdr>
    </w:div>
    <w:div w:id="1710296959">
      <w:bodyDiv w:val="1"/>
      <w:marLeft w:val="0"/>
      <w:marRight w:val="0"/>
      <w:marTop w:val="0"/>
      <w:marBottom w:val="0"/>
      <w:divBdr>
        <w:top w:val="none" w:sz="0" w:space="0" w:color="auto"/>
        <w:left w:val="none" w:sz="0" w:space="0" w:color="auto"/>
        <w:bottom w:val="none" w:sz="0" w:space="0" w:color="auto"/>
        <w:right w:val="none" w:sz="0" w:space="0" w:color="auto"/>
      </w:divBdr>
    </w:div>
    <w:div w:id="1767340485">
      <w:bodyDiv w:val="1"/>
      <w:marLeft w:val="0"/>
      <w:marRight w:val="0"/>
      <w:marTop w:val="0"/>
      <w:marBottom w:val="0"/>
      <w:divBdr>
        <w:top w:val="none" w:sz="0" w:space="0" w:color="auto"/>
        <w:left w:val="none" w:sz="0" w:space="0" w:color="auto"/>
        <w:bottom w:val="none" w:sz="0" w:space="0" w:color="auto"/>
        <w:right w:val="none" w:sz="0" w:space="0" w:color="auto"/>
      </w:divBdr>
    </w:div>
    <w:div w:id="1794591639">
      <w:bodyDiv w:val="1"/>
      <w:marLeft w:val="0"/>
      <w:marRight w:val="0"/>
      <w:marTop w:val="0"/>
      <w:marBottom w:val="0"/>
      <w:divBdr>
        <w:top w:val="none" w:sz="0" w:space="0" w:color="auto"/>
        <w:left w:val="none" w:sz="0" w:space="0" w:color="auto"/>
        <w:bottom w:val="none" w:sz="0" w:space="0" w:color="auto"/>
        <w:right w:val="none" w:sz="0" w:space="0" w:color="auto"/>
      </w:divBdr>
    </w:div>
    <w:div w:id="1796286691">
      <w:bodyDiv w:val="1"/>
      <w:marLeft w:val="0"/>
      <w:marRight w:val="0"/>
      <w:marTop w:val="0"/>
      <w:marBottom w:val="0"/>
      <w:divBdr>
        <w:top w:val="none" w:sz="0" w:space="0" w:color="auto"/>
        <w:left w:val="none" w:sz="0" w:space="0" w:color="auto"/>
        <w:bottom w:val="none" w:sz="0" w:space="0" w:color="auto"/>
        <w:right w:val="none" w:sz="0" w:space="0" w:color="auto"/>
      </w:divBdr>
    </w:div>
    <w:div w:id="1835757810">
      <w:bodyDiv w:val="1"/>
      <w:marLeft w:val="0"/>
      <w:marRight w:val="0"/>
      <w:marTop w:val="0"/>
      <w:marBottom w:val="0"/>
      <w:divBdr>
        <w:top w:val="none" w:sz="0" w:space="0" w:color="auto"/>
        <w:left w:val="none" w:sz="0" w:space="0" w:color="auto"/>
        <w:bottom w:val="none" w:sz="0" w:space="0" w:color="auto"/>
        <w:right w:val="none" w:sz="0" w:space="0" w:color="auto"/>
      </w:divBdr>
    </w:div>
    <w:div w:id="1909806144">
      <w:bodyDiv w:val="1"/>
      <w:marLeft w:val="0"/>
      <w:marRight w:val="0"/>
      <w:marTop w:val="0"/>
      <w:marBottom w:val="0"/>
      <w:divBdr>
        <w:top w:val="none" w:sz="0" w:space="0" w:color="auto"/>
        <w:left w:val="none" w:sz="0" w:space="0" w:color="auto"/>
        <w:bottom w:val="none" w:sz="0" w:space="0" w:color="auto"/>
        <w:right w:val="none" w:sz="0" w:space="0" w:color="auto"/>
      </w:divBdr>
    </w:div>
    <w:div w:id="1940410501">
      <w:bodyDiv w:val="1"/>
      <w:marLeft w:val="0"/>
      <w:marRight w:val="0"/>
      <w:marTop w:val="0"/>
      <w:marBottom w:val="0"/>
      <w:divBdr>
        <w:top w:val="none" w:sz="0" w:space="0" w:color="auto"/>
        <w:left w:val="none" w:sz="0" w:space="0" w:color="auto"/>
        <w:bottom w:val="none" w:sz="0" w:space="0" w:color="auto"/>
        <w:right w:val="none" w:sz="0" w:space="0" w:color="auto"/>
      </w:divBdr>
    </w:div>
    <w:div w:id="1951352661">
      <w:bodyDiv w:val="1"/>
      <w:marLeft w:val="0"/>
      <w:marRight w:val="0"/>
      <w:marTop w:val="0"/>
      <w:marBottom w:val="0"/>
      <w:divBdr>
        <w:top w:val="none" w:sz="0" w:space="0" w:color="auto"/>
        <w:left w:val="none" w:sz="0" w:space="0" w:color="auto"/>
        <w:bottom w:val="none" w:sz="0" w:space="0" w:color="auto"/>
        <w:right w:val="none" w:sz="0" w:space="0" w:color="auto"/>
      </w:divBdr>
    </w:div>
    <w:div w:id="1985694258">
      <w:bodyDiv w:val="1"/>
      <w:marLeft w:val="0"/>
      <w:marRight w:val="0"/>
      <w:marTop w:val="0"/>
      <w:marBottom w:val="0"/>
      <w:divBdr>
        <w:top w:val="none" w:sz="0" w:space="0" w:color="auto"/>
        <w:left w:val="none" w:sz="0" w:space="0" w:color="auto"/>
        <w:bottom w:val="none" w:sz="0" w:space="0" w:color="auto"/>
        <w:right w:val="none" w:sz="0" w:space="0" w:color="auto"/>
      </w:divBdr>
    </w:div>
    <w:div w:id="2033410571">
      <w:bodyDiv w:val="1"/>
      <w:marLeft w:val="0"/>
      <w:marRight w:val="0"/>
      <w:marTop w:val="0"/>
      <w:marBottom w:val="0"/>
      <w:divBdr>
        <w:top w:val="none" w:sz="0" w:space="0" w:color="auto"/>
        <w:left w:val="none" w:sz="0" w:space="0" w:color="auto"/>
        <w:bottom w:val="none" w:sz="0" w:space="0" w:color="auto"/>
        <w:right w:val="none" w:sz="0" w:space="0" w:color="auto"/>
      </w:divBdr>
    </w:div>
    <w:div w:id="2078281526">
      <w:bodyDiv w:val="1"/>
      <w:marLeft w:val="0"/>
      <w:marRight w:val="0"/>
      <w:marTop w:val="0"/>
      <w:marBottom w:val="0"/>
      <w:divBdr>
        <w:top w:val="none" w:sz="0" w:space="0" w:color="auto"/>
        <w:left w:val="none" w:sz="0" w:space="0" w:color="auto"/>
        <w:bottom w:val="none" w:sz="0" w:space="0" w:color="auto"/>
        <w:right w:val="none" w:sz="0" w:space="0" w:color="auto"/>
      </w:divBdr>
    </w:div>
    <w:div w:id="2085564982">
      <w:bodyDiv w:val="1"/>
      <w:marLeft w:val="0"/>
      <w:marRight w:val="0"/>
      <w:marTop w:val="0"/>
      <w:marBottom w:val="0"/>
      <w:divBdr>
        <w:top w:val="none" w:sz="0" w:space="0" w:color="auto"/>
        <w:left w:val="none" w:sz="0" w:space="0" w:color="auto"/>
        <w:bottom w:val="none" w:sz="0" w:space="0" w:color="auto"/>
        <w:right w:val="none" w:sz="0" w:space="0" w:color="auto"/>
      </w:divBdr>
    </w:div>
    <w:div w:id="210557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unicef.es/sites/unicef.es/files/Deporte06.pdf" TargetMode="External"/><Relationship Id="rId1" Type="http://schemas.openxmlformats.org/officeDocument/2006/relationships/hyperlink" Target="https://www.portalfarma.com/Profesionales/medicamentos/dopaje/Documents/Revision-Dopaje-PAM-38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04167-9E8C-43D6-9F26-3F96086C7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5323</Words>
  <Characters>29279</Characters>
  <Application>Microsoft Office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Leidy Elizabeth Riascos Mena</dc:creator>
  <cp:lastModifiedBy>Camila Ortega</cp:lastModifiedBy>
  <cp:revision>2</cp:revision>
  <cp:lastPrinted>2019-10-01T21:45:00Z</cp:lastPrinted>
  <dcterms:created xsi:type="dcterms:W3CDTF">2019-11-26T15:13:00Z</dcterms:created>
  <dcterms:modified xsi:type="dcterms:W3CDTF">2019-11-26T15:13:00Z</dcterms:modified>
</cp:coreProperties>
</file>